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AA208" w14:textId="77777777" w:rsidR="00B558DB" w:rsidRPr="00B558DB" w:rsidRDefault="00B558DB" w:rsidP="00B558DB">
      <w:pPr>
        <w:rPr>
          <w:b/>
          <w:bCs/>
        </w:rPr>
      </w:pPr>
      <w:r w:rsidRPr="00B558DB">
        <w:rPr>
          <w:b/>
          <w:bCs/>
        </w:rPr>
        <w:t>CONSTITUTION OF INDIA ASSIGNMENT (ASSESSMENT II)</w:t>
      </w:r>
    </w:p>
    <w:p w14:paraId="09270C23" w14:textId="77777777" w:rsidR="00B558DB" w:rsidRPr="00B558DB" w:rsidRDefault="00B558DB" w:rsidP="00B558DB">
      <w:pPr>
        <w:rPr>
          <w:b/>
          <w:bCs/>
        </w:rPr>
      </w:pPr>
      <w:r w:rsidRPr="00B558DB">
        <w:rPr>
          <w:b/>
          <w:bCs/>
        </w:rPr>
        <w:t>PROJECT ON: CASE LAW ANALYSIS-COMMISSIONER, HINDU RELIGIOUS ENDOWMENTS v. SRI LAKSHMINDRA THIRTHA SWAMIAR (SHIRUR MUTT CASE, 1954)</w:t>
      </w:r>
    </w:p>
    <w:p w14:paraId="3A095EAD" w14:textId="77777777" w:rsidR="00B558DB" w:rsidRPr="00B558DB" w:rsidRDefault="00B558DB" w:rsidP="00B558DB">
      <w:r w:rsidRPr="00B558DB">
        <w:rPr>
          <w:b/>
          <w:bCs/>
        </w:rPr>
        <w:t>NAME:</w:t>
      </w:r>
      <w:r w:rsidRPr="00B558DB">
        <w:t> [Your Name]</w:t>
      </w:r>
      <w:r w:rsidRPr="00B558DB">
        <w:br/>
      </w:r>
      <w:r w:rsidRPr="00B558DB">
        <w:rPr>
          <w:b/>
          <w:bCs/>
        </w:rPr>
        <w:t>REGISTRATION NO:</w:t>
      </w:r>
      <w:r w:rsidRPr="00B558DB">
        <w:t> [Your Registration Number]</w:t>
      </w:r>
      <w:r w:rsidRPr="00B558DB">
        <w:br/>
      </w:r>
      <w:r w:rsidRPr="00B558DB">
        <w:rPr>
          <w:b/>
          <w:bCs/>
        </w:rPr>
        <w:t>SUBJECT:</w:t>
      </w:r>
      <w:r w:rsidRPr="00B558DB">
        <w:t> Constitution of India</w:t>
      </w:r>
      <w:r w:rsidRPr="00B558DB">
        <w:br/>
      </w:r>
      <w:r w:rsidRPr="00B558DB">
        <w:rPr>
          <w:b/>
          <w:bCs/>
        </w:rPr>
        <w:t>PROGRAMME:</w:t>
      </w:r>
      <w:r w:rsidRPr="00B558DB">
        <w:t> [Your Programme]</w:t>
      </w:r>
      <w:r w:rsidRPr="00B558DB">
        <w:br/>
      </w:r>
      <w:r w:rsidRPr="00B558DB">
        <w:rPr>
          <w:b/>
          <w:bCs/>
        </w:rPr>
        <w:t>CLASS:</w:t>
      </w:r>
      <w:r w:rsidRPr="00B558DB">
        <w:t> II - Year - Fourth Semester</w:t>
      </w:r>
      <w:r w:rsidRPr="00B558DB">
        <w:br/>
      </w:r>
      <w:r w:rsidRPr="00B558DB">
        <w:rPr>
          <w:b/>
          <w:bCs/>
        </w:rPr>
        <w:t>FACULTY:</w:t>
      </w:r>
      <w:r w:rsidRPr="00B558DB">
        <w:t> Mr. Karthik Shiva</w:t>
      </w:r>
    </w:p>
    <w:p w14:paraId="1481E306" w14:textId="77777777" w:rsidR="00B558DB" w:rsidRPr="00B558DB" w:rsidRDefault="00B558DB" w:rsidP="00B558DB">
      <w:r w:rsidRPr="00B558DB">
        <w:pict w14:anchorId="1E726179">
          <v:rect id="_x0000_i1193" style="width:0;height:.75pt" o:hralign="center" o:hrstd="t" o:hr="t" fillcolor="#a0a0a0" stroked="f"/>
        </w:pict>
      </w:r>
    </w:p>
    <w:p w14:paraId="55EF1E4B" w14:textId="77777777" w:rsidR="00B558DB" w:rsidRPr="00B558DB" w:rsidRDefault="00B558DB" w:rsidP="00B558DB">
      <w:pPr>
        <w:rPr>
          <w:b/>
          <w:bCs/>
        </w:rPr>
      </w:pPr>
      <w:r w:rsidRPr="00B558DB">
        <w:rPr>
          <w:b/>
          <w:bCs/>
        </w:rPr>
        <w:t>INTRODUCTION</w:t>
      </w:r>
    </w:p>
    <w:p w14:paraId="5169F72A" w14:textId="77777777" w:rsidR="00B558DB" w:rsidRPr="00B558DB" w:rsidRDefault="00B558DB" w:rsidP="00B558DB">
      <w:r w:rsidRPr="00B558DB">
        <w:t>The Supreme Court’s decision in </w:t>
      </w:r>
      <w:r w:rsidRPr="00B558DB">
        <w:rPr>
          <w:i/>
          <w:iCs/>
        </w:rPr>
        <w:t xml:space="preserve">Commissioner, Hindu Religious Endowments, Madras v. Sri </w:t>
      </w:r>
      <w:proofErr w:type="spellStart"/>
      <w:r w:rsidRPr="00B558DB">
        <w:rPr>
          <w:i/>
          <w:iCs/>
        </w:rPr>
        <w:t>Lakshmindra</w:t>
      </w:r>
      <w:proofErr w:type="spellEnd"/>
      <w:r w:rsidRPr="00B558DB">
        <w:rPr>
          <w:i/>
          <w:iCs/>
        </w:rPr>
        <w:t xml:space="preserve"> Thirtha </w:t>
      </w:r>
      <w:proofErr w:type="spellStart"/>
      <w:r w:rsidRPr="00B558DB">
        <w:rPr>
          <w:i/>
          <w:iCs/>
        </w:rPr>
        <w:t>Swamiar</w:t>
      </w:r>
      <w:proofErr w:type="spellEnd"/>
      <w:r w:rsidRPr="00B558DB">
        <w:rPr>
          <w:i/>
          <w:iCs/>
        </w:rPr>
        <w:t xml:space="preserve"> of Sri </w:t>
      </w:r>
      <w:proofErr w:type="spellStart"/>
      <w:r w:rsidRPr="00B558DB">
        <w:rPr>
          <w:i/>
          <w:iCs/>
        </w:rPr>
        <w:t>Shirur</w:t>
      </w:r>
      <w:proofErr w:type="spellEnd"/>
      <w:r w:rsidRPr="00B558DB">
        <w:rPr>
          <w:i/>
          <w:iCs/>
        </w:rPr>
        <w:t xml:space="preserve"> Mutt</w:t>
      </w:r>
      <w:r w:rsidRPr="00B558DB">
        <w:t> (1954) marks a watershed moment in the constitutional jurisprudence of India. This landmark case clarified the boundaries between the regulatory powers of the state and the autonomy of religious denominations, especially concerning the management of religious institutions and endowments. The judgment has since become a cornerstone for interpreting Articles 25 and 26 of the Constitution, which guarantee freedom of religion and the rights of religious denominations to manage their own affairs</w:t>
      </w:r>
      <w:hyperlink r:id="rId5" w:tgtFrame="_blank" w:history="1">
        <w:r w:rsidRPr="00B558DB">
          <w:rPr>
            <w:rStyle w:val="Hyperlink"/>
          </w:rPr>
          <w:t>3</w:t>
        </w:r>
      </w:hyperlink>
      <w:hyperlink r:id="rId6" w:tgtFrame="_blank" w:history="1">
        <w:r w:rsidRPr="00B558DB">
          <w:rPr>
            <w:rStyle w:val="Hyperlink"/>
          </w:rPr>
          <w:t>7</w:t>
        </w:r>
      </w:hyperlink>
      <w:hyperlink r:id="rId7" w:tgtFrame="_blank" w:history="1">
        <w:r w:rsidRPr="00B558DB">
          <w:rPr>
            <w:rStyle w:val="Hyperlink"/>
          </w:rPr>
          <w:t>8</w:t>
        </w:r>
      </w:hyperlink>
      <w:r w:rsidRPr="00B558DB">
        <w:t>.</w:t>
      </w:r>
    </w:p>
    <w:p w14:paraId="693BF0E1" w14:textId="77777777" w:rsidR="00B558DB" w:rsidRPr="00B558DB" w:rsidRDefault="00B558DB" w:rsidP="00B558DB">
      <w:r w:rsidRPr="00B558DB">
        <w:pict w14:anchorId="25122DA2">
          <v:rect id="_x0000_i1194" style="width:0;height:.75pt" o:hralign="center" o:hrstd="t" o:hr="t" fillcolor="#a0a0a0" stroked="f"/>
        </w:pict>
      </w:r>
    </w:p>
    <w:p w14:paraId="3B94D3C9" w14:textId="77777777" w:rsidR="00B558DB" w:rsidRPr="00B558DB" w:rsidRDefault="00B558DB" w:rsidP="00B558DB">
      <w:pPr>
        <w:rPr>
          <w:b/>
          <w:bCs/>
        </w:rPr>
      </w:pPr>
      <w:r w:rsidRPr="00B558DB">
        <w:rPr>
          <w:b/>
          <w:bCs/>
        </w:rPr>
        <w:t>BACKGROUND AND CONTEXT</w:t>
      </w:r>
    </w:p>
    <w:p w14:paraId="578D9D03" w14:textId="77777777" w:rsidR="00B558DB" w:rsidRPr="00B558DB" w:rsidRDefault="00B558DB" w:rsidP="00B558DB">
      <w:pPr>
        <w:rPr>
          <w:b/>
          <w:bCs/>
        </w:rPr>
      </w:pPr>
      <w:r w:rsidRPr="00B558DB">
        <w:rPr>
          <w:b/>
          <w:bCs/>
        </w:rPr>
        <w:t>Constitutional and Jurisprudential Perspective</w:t>
      </w:r>
    </w:p>
    <w:p w14:paraId="6ECD5181" w14:textId="77777777" w:rsidR="00B558DB" w:rsidRPr="00B558DB" w:rsidRDefault="00B558DB" w:rsidP="00B558DB">
      <w:r w:rsidRPr="00B558DB">
        <w:t xml:space="preserve">The case arose in the context of the Madras Hindu Religious and Charitable Endowments Act, 1951, which sought to regulate the administration of Hindu religious institutions in Madras State. The Act empowered government authorities to intervene in the management of temples and mutts, appoint trustees, and oversee financial matters. The head of the </w:t>
      </w:r>
      <w:proofErr w:type="spellStart"/>
      <w:r w:rsidRPr="00B558DB">
        <w:t>Shirur</w:t>
      </w:r>
      <w:proofErr w:type="spellEnd"/>
      <w:r w:rsidRPr="00B558DB">
        <w:t xml:space="preserve"> Mutt, Sri </w:t>
      </w:r>
      <w:proofErr w:type="spellStart"/>
      <w:r w:rsidRPr="00B558DB">
        <w:t>Lakshmindra</w:t>
      </w:r>
      <w:proofErr w:type="spellEnd"/>
      <w:r w:rsidRPr="00B558DB">
        <w:t xml:space="preserve"> Thirtha </w:t>
      </w:r>
      <w:proofErr w:type="spellStart"/>
      <w:r w:rsidRPr="00B558DB">
        <w:t>Swamiar</w:t>
      </w:r>
      <w:proofErr w:type="spellEnd"/>
      <w:r w:rsidRPr="00B558DB">
        <w:t>, challenged the Act, contending that it infringed upon the fundamental rights of religious denominations under Articles 25 (freedom of religion), 26 (freedom to manage religious affairs), and 19(1)(f) (right to property) of the Constitution</w:t>
      </w:r>
      <w:hyperlink r:id="rId8" w:tgtFrame="_blank" w:history="1">
        <w:r w:rsidRPr="00B558DB">
          <w:rPr>
            <w:rStyle w:val="Hyperlink"/>
          </w:rPr>
          <w:t>3</w:t>
        </w:r>
      </w:hyperlink>
      <w:hyperlink r:id="rId9" w:tgtFrame="_blank" w:history="1">
        <w:r w:rsidRPr="00B558DB">
          <w:rPr>
            <w:rStyle w:val="Hyperlink"/>
          </w:rPr>
          <w:t>7</w:t>
        </w:r>
      </w:hyperlink>
      <w:hyperlink r:id="rId10" w:tgtFrame="_blank" w:history="1">
        <w:r w:rsidRPr="00B558DB">
          <w:rPr>
            <w:rStyle w:val="Hyperlink"/>
          </w:rPr>
          <w:t>8</w:t>
        </w:r>
      </w:hyperlink>
      <w:hyperlink r:id="rId11" w:tgtFrame="_blank" w:history="1">
        <w:r w:rsidRPr="00B558DB">
          <w:rPr>
            <w:rStyle w:val="Hyperlink"/>
          </w:rPr>
          <w:t>9</w:t>
        </w:r>
      </w:hyperlink>
      <w:r w:rsidRPr="00B558DB">
        <w:t>.</w:t>
      </w:r>
    </w:p>
    <w:p w14:paraId="55BCC4C3" w14:textId="77777777" w:rsidR="00B558DB" w:rsidRPr="00B558DB" w:rsidRDefault="00B558DB" w:rsidP="00B558DB">
      <w:r w:rsidRPr="00B558DB">
        <w:pict w14:anchorId="456D6F0D">
          <v:rect id="_x0000_i1195" style="width:0;height:.75pt" o:hralign="center" o:hrstd="t" o:hr="t" fillcolor="#a0a0a0" stroked="f"/>
        </w:pict>
      </w:r>
    </w:p>
    <w:p w14:paraId="45D55344" w14:textId="77777777" w:rsidR="00B558DB" w:rsidRPr="00B558DB" w:rsidRDefault="00B558DB" w:rsidP="00B558DB">
      <w:pPr>
        <w:rPr>
          <w:b/>
          <w:bCs/>
        </w:rPr>
      </w:pPr>
      <w:r w:rsidRPr="00B558DB">
        <w:rPr>
          <w:b/>
          <w:bCs/>
        </w:rPr>
        <w:t>REVIEW OF LITERATURE</w:t>
      </w:r>
    </w:p>
    <w:p w14:paraId="23E83D28" w14:textId="77777777" w:rsidR="00B558DB" w:rsidRPr="00B558DB" w:rsidRDefault="00B558DB" w:rsidP="00B558DB">
      <w:r w:rsidRPr="00B558DB">
        <w:t xml:space="preserve">Legal scholars have consistently recognized the </w:t>
      </w:r>
      <w:proofErr w:type="spellStart"/>
      <w:r w:rsidRPr="00B558DB">
        <w:t>Shirur</w:t>
      </w:r>
      <w:proofErr w:type="spellEnd"/>
      <w:r w:rsidRPr="00B558DB">
        <w:t xml:space="preserve"> Mutt case as a defining precedent in Indian constitutional law. It is widely cited for its interpretation of the scope of religious freedom and the autonomy of religious institutions. The judgment is frequently referenced in subsequent Supreme Court decisions and academic commentaries for its nuanced distinction between religious and secular activities and its robust protection of religious rights against excessive state interference</w:t>
      </w:r>
      <w:hyperlink r:id="rId12" w:tgtFrame="_blank" w:history="1">
        <w:r w:rsidRPr="00B558DB">
          <w:rPr>
            <w:rStyle w:val="Hyperlink"/>
          </w:rPr>
          <w:t>7</w:t>
        </w:r>
      </w:hyperlink>
      <w:hyperlink r:id="rId13" w:tgtFrame="_blank" w:history="1">
        <w:r w:rsidRPr="00B558DB">
          <w:rPr>
            <w:rStyle w:val="Hyperlink"/>
          </w:rPr>
          <w:t>9</w:t>
        </w:r>
      </w:hyperlink>
      <w:hyperlink r:id="rId14" w:tgtFrame="_blank" w:history="1">
        <w:r w:rsidRPr="00B558DB">
          <w:rPr>
            <w:rStyle w:val="Hyperlink"/>
          </w:rPr>
          <w:t>10</w:t>
        </w:r>
      </w:hyperlink>
      <w:r w:rsidRPr="00B558DB">
        <w:t>.</w:t>
      </w:r>
    </w:p>
    <w:p w14:paraId="1F7EFF20" w14:textId="77777777" w:rsidR="00B558DB" w:rsidRPr="00B558DB" w:rsidRDefault="00B558DB" w:rsidP="00B558DB">
      <w:r w:rsidRPr="00B558DB">
        <w:pict w14:anchorId="124A1F57">
          <v:rect id="_x0000_i1196" style="width:0;height:.75pt" o:hralign="center" o:hrstd="t" o:hr="t" fillcolor="#a0a0a0" stroked="f"/>
        </w:pict>
      </w:r>
    </w:p>
    <w:p w14:paraId="660E2F10" w14:textId="77777777" w:rsidR="00B558DB" w:rsidRPr="00B558DB" w:rsidRDefault="00B558DB" w:rsidP="00B558DB">
      <w:pPr>
        <w:rPr>
          <w:b/>
          <w:bCs/>
        </w:rPr>
      </w:pPr>
      <w:r w:rsidRPr="00B558DB">
        <w:rPr>
          <w:b/>
          <w:bCs/>
        </w:rPr>
        <w:t>STATEMENT OF RESEARCH PROBLEM</w:t>
      </w:r>
    </w:p>
    <w:p w14:paraId="49305ABE" w14:textId="77777777" w:rsidR="00B558DB" w:rsidRPr="00B558DB" w:rsidRDefault="00B558DB" w:rsidP="00B558DB">
      <w:r w:rsidRPr="00B558DB">
        <w:t>The core issue in this case was whether the state, under the guise of regulating religious endowments, could intrude upon the essential religious practices and administrative autonomy of religious denominations. The research examines the constitutional limits on state intervention in religious affairs, the judicial tests evolved for distinguishing religious from secular activities, and the implications for the rights of religious denominations in India</w:t>
      </w:r>
      <w:hyperlink r:id="rId15" w:tgtFrame="_blank" w:history="1">
        <w:r w:rsidRPr="00B558DB">
          <w:rPr>
            <w:rStyle w:val="Hyperlink"/>
          </w:rPr>
          <w:t>3</w:t>
        </w:r>
      </w:hyperlink>
      <w:hyperlink r:id="rId16" w:tgtFrame="_blank" w:history="1">
        <w:r w:rsidRPr="00B558DB">
          <w:rPr>
            <w:rStyle w:val="Hyperlink"/>
          </w:rPr>
          <w:t>7</w:t>
        </w:r>
      </w:hyperlink>
      <w:hyperlink r:id="rId17" w:tgtFrame="_blank" w:history="1">
        <w:r w:rsidRPr="00B558DB">
          <w:rPr>
            <w:rStyle w:val="Hyperlink"/>
          </w:rPr>
          <w:t>8</w:t>
        </w:r>
      </w:hyperlink>
      <w:hyperlink r:id="rId18" w:tgtFrame="_blank" w:history="1">
        <w:r w:rsidRPr="00B558DB">
          <w:rPr>
            <w:rStyle w:val="Hyperlink"/>
          </w:rPr>
          <w:t>9</w:t>
        </w:r>
      </w:hyperlink>
      <w:r w:rsidRPr="00B558DB">
        <w:t>.</w:t>
      </w:r>
    </w:p>
    <w:p w14:paraId="5F16145F" w14:textId="77777777" w:rsidR="00B558DB" w:rsidRPr="00B558DB" w:rsidRDefault="00B558DB" w:rsidP="00B558DB">
      <w:r w:rsidRPr="00B558DB">
        <w:pict w14:anchorId="40A1095F">
          <v:rect id="_x0000_i1197" style="width:0;height:.75pt" o:hralign="center" o:hrstd="t" o:hr="t" fillcolor="#a0a0a0" stroked="f"/>
        </w:pict>
      </w:r>
    </w:p>
    <w:p w14:paraId="6D18692F" w14:textId="77777777" w:rsidR="00B558DB" w:rsidRPr="00B558DB" w:rsidRDefault="00B558DB" w:rsidP="00B558DB">
      <w:pPr>
        <w:rPr>
          <w:b/>
          <w:bCs/>
        </w:rPr>
      </w:pPr>
      <w:r w:rsidRPr="00B558DB">
        <w:rPr>
          <w:b/>
          <w:bCs/>
        </w:rPr>
        <w:t>OBJECTIVES</w:t>
      </w:r>
    </w:p>
    <w:p w14:paraId="5C8826C2" w14:textId="77777777" w:rsidR="00B558DB" w:rsidRPr="00B558DB" w:rsidRDefault="00B558DB" w:rsidP="00B558DB">
      <w:pPr>
        <w:numPr>
          <w:ilvl w:val="0"/>
          <w:numId w:val="11"/>
        </w:numPr>
      </w:pPr>
      <w:r w:rsidRPr="00B558DB">
        <w:t xml:space="preserve">To </w:t>
      </w:r>
      <w:proofErr w:type="spellStart"/>
      <w:r w:rsidRPr="00B558DB">
        <w:t>analyze</w:t>
      </w:r>
      <w:proofErr w:type="spellEnd"/>
      <w:r w:rsidRPr="00B558DB">
        <w:t xml:space="preserve"> the constitutional validity of state regulation of religious institutions.</w:t>
      </w:r>
    </w:p>
    <w:p w14:paraId="6E43D5E3" w14:textId="77777777" w:rsidR="00B558DB" w:rsidRPr="00B558DB" w:rsidRDefault="00B558DB" w:rsidP="00B558DB">
      <w:pPr>
        <w:numPr>
          <w:ilvl w:val="0"/>
          <w:numId w:val="11"/>
        </w:numPr>
      </w:pPr>
      <w:r w:rsidRPr="00B558DB">
        <w:t>To examine the Supreme Court’s interpretation of “essential religious practices.”</w:t>
      </w:r>
    </w:p>
    <w:p w14:paraId="3B715782" w14:textId="77777777" w:rsidR="00B558DB" w:rsidRPr="00B558DB" w:rsidRDefault="00B558DB" w:rsidP="00B558DB">
      <w:pPr>
        <w:numPr>
          <w:ilvl w:val="0"/>
          <w:numId w:val="11"/>
        </w:numPr>
      </w:pPr>
      <w:r w:rsidRPr="00B558DB">
        <w:t>To assess the impact of the judgment on the autonomy of religious denominations.</w:t>
      </w:r>
    </w:p>
    <w:p w14:paraId="0636DB64" w14:textId="77777777" w:rsidR="00B558DB" w:rsidRPr="00B558DB" w:rsidRDefault="00B558DB" w:rsidP="00B558DB">
      <w:pPr>
        <w:numPr>
          <w:ilvl w:val="0"/>
          <w:numId w:val="11"/>
        </w:numPr>
      </w:pPr>
      <w:r w:rsidRPr="00B558DB">
        <w:t>To evaluate the balance struck between public interest and religious freedom.</w:t>
      </w:r>
    </w:p>
    <w:p w14:paraId="018B318C" w14:textId="77777777" w:rsidR="00B558DB" w:rsidRPr="00B558DB" w:rsidRDefault="00B558DB" w:rsidP="00B558DB">
      <w:r w:rsidRPr="00B558DB">
        <w:pict w14:anchorId="7CF16743">
          <v:rect id="_x0000_i1198" style="width:0;height:.75pt" o:hralign="center" o:hrstd="t" o:hr="t" fillcolor="#a0a0a0" stroked="f"/>
        </w:pict>
      </w:r>
    </w:p>
    <w:p w14:paraId="53F86D66" w14:textId="77777777" w:rsidR="00B558DB" w:rsidRPr="00B558DB" w:rsidRDefault="00B558DB" w:rsidP="00B558DB">
      <w:pPr>
        <w:rPr>
          <w:b/>
          <w:bCs/>
        </w:rPr>
      </w:pPr>
      <w:r w:rsidRPr="00B558DB">
        <w:rPr>
          <w:b/>
          <w:bCs/>
        </w:rPr>
        <w:t>HYPOTHESES / RESEARCH QUESTIONS</w:t>
      </w:r>
    </w:p>
    <w:p w14:paraId="7C89BBF7" w14:textId="77777777" w:rsidR="00B558DB" w:rsidRPr="00B558DB" w:rsidRDefault="00B558DB" w:rsidP="00B558DB">
      <w:pPr>
        <w:numPr>
          <w:ilvl w:val="0"/>
          <w:numId w:val="12"/>
        </w:numPr>
      </w:pPr>
      <w:r w:rsidRPr="00B558DB">
        <w:t>Does the Constitution permit the state to regulate the secular administration of religious institutions without infringing upon their essential religious practices?</w:t>
      </w:r>
    </w:p>
    <w:p w14:paraId="4AFCFD33" w14:textId="77777777" w:rsidR="00B558DB" w:rsidRPr="00B558DB" w:rsidRDefault="00B558DB" w:rsidP="00B558DB">
      <w:pPr>
        <w:numPr>
          <w:ilvl w:val="0"/>
          <w:numId w:val="12"/>
        </w:numPr>
      </w:pPr>
      <w:r w:rsidRPr="00B558DB">
        <w:t>How did the Supreme Court define and protect the rights of religious denominations under Articles 25 and 26 in this case?</w:t>
      </w:r>
    </w:p>
    <w:p w14:paraId="668A5AC7" w14:textId="77777777" w:rsidR="00B558DB" w:rsidRPr="00B558DB" w:rsidRDefault="00B558DB" w:rsidP="00B558DB">
      <w:pPr>
        <w:numPr>
          <w:ilvl w:val="0"/>
          <w:numId w:val="12"/>
        </w:numPr>
      </w:pPr>
      <w:r w:rsidRPr="00B558DB">
        <w:t xml:space="preserve">What are the broader implications of the </w:t>
      </w:r>
      <w:proofErr w:type="spellStart"/>
      <w:r w:rsidRPr="00B558DB">
        <w:t>Shirur</w:t>
      </w:r>
      <w:proofErr w:type="spellEnd"/>
      <w:r w:rsidRPr="00B558DB">
        <w:t xml:space="preserve"> Mutt judgment for religious freedom in India?</w:t>
      </w:r>
    </w:p>
    <w:p w14:paraId="64C9688C" w14:textId="77777777" w:rsidR="00B558DB" w:rsidRPr="00B558DB" w:rsidRDefault="00B558DB" w:rsidP="00B558DB">
      <w:r w:rsidRPr="00B558DB">
        <w:pict w14:anchorId="541368CE">
          <v:rect id="_x0000_i1199" style="width:0;height:.75pt" o:hralign="center" o:hrstd="t" o:hr="t" fillcolor="#a0a0a0" stroked="f"/>
        </w:pict>
      </w:r>
    </w:p>
    <w:p w14:paraId="1DBC9E0D" w14:textId="77777777" w:rsidR="00B558DB" w:rsidRPr="00B558DB" w:rsidRDefault="00B558DB" w:rsidP="00B558DB">
      <w:pPr>
        <w:rPr>
          <w:b/>
          <w:bCs/>
        </w:rPr>
      </w:pPr>
      <w:r w:rsidRPr="00B558DB">
        <w:rPr>
          <w:b/>
          <w:bCs/>
        </w:rPr>
        <w:t>DATA COLLECTION</w:t>
      </w:r>
    </w:p>
    <w:p w14:paraId="68080E5F" w14:textId="77777777" w:rsidR="00B558DB" w:rsidRPr="00B558DB" w:rsidRDefault="00B558DB" w:rsidP="00B558DB">
      <w:r w:rsidRPr="00B558DB">
        <w:t xml:space="preserve">Primary sources include the full text of the Supreme Court judgment, relevant constitutional provisions, and legislative materials. Secondary sources include legal commentaries, scholarly articles, and subsequent case law referencing the </w:t>
      </w:r>
      <w:proofErr w:type="spellStart"/>
      <w:r w:rsidRPr="00B558DB">
        <w:t>Shirur</w:t>
      </w:r>
      <w:proofErr w:type="spellEnd"/>
      <w:r w:rsidRPr="00B558DB">
        <w:t xml:space="preserve"> Mutt decision</w:t>
      </w:r>
      <w:hyperlink r:id="rId19" w:tgtFrame="_blank" w:history="1">
        <w:r w:rsidRPr="00B558DB">
          <w:rPr>
            <w:rStyle w:val="Hyperlink"/>
          </w:rPr>
          <w:t>3</w:t>
        </w:r>
      </w:hyperlink>
      <w:hyperlink r:id="rId20" w:tgtFrame="_blank" w:history="1">
        <w:r w:rsidRPr="00B558DB">
          <w:rPr>
            <w:rStyle w:val="Hyperlink"/>
          </w:rPr>
          <w:t>7</w:t>
        </w:r>
      </w:hyperlink>
      <w:hyperlink r:id="rId21" w:tgtFrame="_blank" w:history="1">
        <w:r w:rsidRPr="00B558DB">
          <w:rPr>
            <w:rStyle w:val="Hyperlink"/>
          </w:rPr>
          <w:t>8</w:t>
        </w:r>
      </w:hyperlink>
      <w:hyperlink r:id="rId22" w:tgtFrame="_blank" w:history="1">
        <w:r w:rsidRPr="00B558DB">
          <w:rPr>
            <w:rStyle w:val="Hyperlink"/>
          </w:rPr>
          <w:t>9</w:t>
        </w:r>
      </w:hyperlink>
      <w:hyperlink r:id="rId23" w:tgtFrame="_blank" w:history="1">
        <w:r w:rsidRPr="00B558DB">
          <w:rPr>
            <w:rStyle w:val="Hyperlink"/>
          </w:rPr>
          <w:t>10</w:t>
        </w:r>
      </w:hyperlink>
      <w:r w:rsidRPr="00B558DB">
        <w:t>.</w:t>
      </w:r>
    </w:p>
    <w:p w14:paraId="181C2E74" w14:textId="77777777" w:rsidR="00B558DB" w:rsidRPr="00B558DB" w:rsidRDefault="00B558DB" w:rsidP="00B558DB">
      <w:r w:rsidRPr="00B558DB">
        <w:pict w14:anchorId="07A87D3B">
          <v:rect id="_x0000_i1200" style="width:0;height:.75pt" o:hralign="center" o:hrstd="t" o:hr="t" fillcolor="#a0a0a0" stroked="f"/>
        </w:pict>
      </w:r>
    </w:p>
    <w:p w14:paraId="0C2EC6C0" w14:textId="77777777" w:rsidR="00B558DB" w:rsidRPr="00B558DB" w:rsidRDefault="00B558DB" w:rsidP="00B558DB">
      <w:pPr>
        <w:rPr>
          <w:b/>
          <w:bCs/>
        </w:rPr>
      </w:pPr>
      <w:r w:rsidRPr="00B558DB">
        <w:rPr>
          <w:b/>
          <w:bCs/>
        </w:rPr>
        <w:t>DATA ANALYSIS</w:t>
      </w:r>
    </w:p>
    <w:p w14:paraId="798B6679" w14:textId="77777777" w:rsidR="00B558DB" w:rsidRPr="00B558DB" w:rsidRDefault="00B558DB" w:rsidP="00B558DB">
      <w:pPr>
        <w:rPr>
          <w:b/>
          <w:bCs/>
        </w:rPr>
      </w:pPr>
      <w:r w:rsidRPr="00B558DB">
        <w:rPr>
          <w:b/>
          <w:bCs/>
        </w:rPr>
        <w:t>Facts of the Case</w:t>
      </w:r>
    </w:p>
    <w:p w14:paraId="73E72F08" w14:textId="77777777" w:rsidR="00B558DB" w:rsidRPr="00B558DB" w:rsidRDefault="00B558DB" w:rsidP="00B558DB">
      <w:r w:rsidRPr="00B558DB">
        <w:t xml:space="preserve">The </w:t>
      </w:r>
      <w:proofErr w:type="spellStart"/>
      <w:r w:rsidRPr="00B558DB">
        <w:t>Shirur</w:t>
      </w:r>
      <w:proofErr w:type="spellEnd"/>
      <w:r w:rsidRPr="00B558DB">
        <w:t xml:space="preserve"> Mutt, a prominent Hindu religious institution in Udipi, was subject to state intervention under the Madras Act, which provided for the appointment of government officials to oversee its administration. The Swami, as </w:t>
      </w:r>
      <w:proofErr w:type="spellStart"/>
      <w:r w:rsidRPr="00B558DB">
        <w:t>Mathadhipati</w:t>
      </w:r>
      <w:proofErr w:type="spellEnd"/>
      <w:r w:rsidRPr="00B558DB">
        <w:t>, argued that such interference violated the institution’s constitutional rights. The government contended that the Act was necessary to prevent mismanagement and ensure public accountability</w:t>
      </w:r>
      <w:hyperlink r:id="rId24" w:tgtFrame="_blank" w:history="1">
        <w:r w:rsidRPr="00B558DB">
          <w:rPr>
            <w:rStyle w:val="Hyperlink"/>
          </w:rPr>
          <w:t>2</w:t>
        </w:r>
      </w:hyperlink>
      <w:hyperlink r:id="rId25" w:tgtFrame="_blank" w:history="1">
        <w:r w:rsidRPr="00B558DB">
          <w:rPr>
            <w:rStyle w:val="Hyperlink"/>
          </w:rPr>
          <w:t>8</w:t>
        </w:r>
      </w:hyperlink>
      <w:hyperlink r:id="rId26" w:tgtFrame="_blank" w:history="1">
        <w:r w:rsidRPr="00B558DB">
          <w:rPr>
            <w:rStyle w:val="Hyperlink"/>
          </w:rPr>
          <w:t>9</w:t>
        </w:r>
      </w:hyperlink>
      <w:r w:rsidRPr="00B558DB">
        <w:t>.</w:t>
      </w:r>
    </w:p>
    <w:p w14:paraId="07044883" w14:textId="77777777" w:rsidR="00B558DB" w:rsidRPr="00B558DB" w:rsidRDefault="00B558DB" w:rsidP="00B558DB">
      <w:pPr>
        <w:rPr>
          <w:b/>
          <w:bCs/>
        </w:rPr>
      </w:pPr>
      <w:r w:rsidRPr="00B558DB">
        <w:rPr>
          <w:b/>
          <w:bCs/>
        </w:rPr>
        <w:t>Issues Raised</w:t>
      </w:r>
    </w:p>
    <w:p w14:paraId="4A5E6DC8" w14:textId="77777777" w:rsidR="00B558DB" w:rsidRPr="00B558DB" w:rsidRDefault="00B558DB" w:rsidP="00B558DB">
      <w:pPr>
        <w:numPr>
          <w:ilvl w:val="0"/>
          <w:numId w:val="13"/>
        </w:numPr>
      </w:pPr>
      <w:r w:rsidRPr="00B558DB">
        <w:t>Whether the provisions of the Madras Act violated Articles 19(1)(f), 25, 26, and 27 of the Constitution.</w:t>
      </w:r>
    </w:p>
    <w:p w14:paraId="23A6613B" w14:textId="77777777" w:rsidR="00B558DB" w:rsidRPr="00B558DB" w:rsidRDefault="00B558DB" w:rsidP="00B558DB">
      <w:pPr>
        <w:numPr>
          <w:ilvl w:val="0"/>
          <w:numId w:val="13"/>
        </w:numPr>
      </w:pPr>
      <w:r w:rsidRPr="00B558DB">
        <w:t>Whether the state could regulate the administration and property of religious institutions.</w:t>
      </w:r>
    </w:p>
    <w:p w14:paraId="40ECEA87" w14:textId="77777777" w:rsidR="00B558DB" w:rsidRPr="00B558DB" w:rsidRDefault="00B558DB" w:rsidP="00B558DB">
      <w:pPr>
        <w:numPr>
          <w:ilvl w:val="0"/>
          <w:numId w:val="13"/>
        </w:numPr>
      </w:pPr>
      <w:r w:rsidRPr="00B558DB">
        <w:t>Whether the levy imposed by the Act was a tax or a fee, and if it was within the state’s legislative competence</w:t>
      </w:r>
      <w:hyperlink r:id="rId27" w:tgtFrame="_blank" w:history="1">
        <w:r w:rsidRPr="00B558DB">
          <w:rPr>
            <w:rStyle w:val="Hyperlink"/>
          </w:rPr>
          <w:t>7</w:t>
        </w:r>
      </w:hyperlink>
      <w:hyperlink r:id="rId28" w:tgtFrame="_blank" w:history="1">
        <w:r w:rsidRPr="00B558DB">
          <w:rPr>
            <w:rStyle w:val="Hyperlink"/>
          </w:rPr>
          <w:t>8</w:t>
        </w:r>
      </w:hyperlink>
      <w:hyperlink r:id="rId29" w:tgtFrame="_blank" w:history="1">
        <w:r w:rsidRPr="00B558DB">
          <w:rPr>
            <w:rStyle w:val="Hyperlink"/>
          </w:rPr>
          <w:t>10</w:t>
        </w:r>
      </w:hyperlink>
      <w:r w:rsidRPr="00B558DB">
        <w:t>.</w:t>
      </w:r>
    </w:p>
    <w:p w14:paraId="5BEE0B91" w14:textId="77777777" w:rsidR="00B558DB" w:rsidRPr="00B558DB" w:rsidRDefault="00B558DB" w:rsidP="00B558DB">
      <w:pPr>
        <w:rPr>
          <w:b/>
          <w:bCs/>
        </w:rPr>
      </w:pPr>
      <w:r w:rsidRPr="00B558DB">
        <w:rPr>
          <w:b/>
          <w:bCs/>
        </w:rPr>
        <w:t>Arguments</w:t>
      </w:r>
    </w:p>
    <w:p w14:paraId="563EA14D" w14:textId="77777777" w:rsidR="00B558DB" w:rsidRPr="00B558DB" w:rsidRDefault="00B558DB" w:rsidP="00B558DB">
      <w:r w:rsidRPr="00B558DB">
        <w:rPr>
          <w:b/>
          <w:bCs/>
        </w:rPr>
        <w:t>Petitioner (State):</w:t>
      </w:r>
    </w:p>
    <w:p w14:paraId="3BBEE8D4" w14:textId="77777777" w:rsidR="00B558DB" w:rsidRPr="00B558DB" w:rsidRDefault="00B558DB" w:rsidP="00B558DB">
      <w:pPr>
        <w:numPr>
          <w:ilvl w:val="0"/>
          <w:numId w:val="14"/>
        </w:numPr>
      </w:pPr>
      <w:r w:rsidRPr="00B558DB">
        <w:t>The Act was intended to ensure proper administration and prevent mismanagement of religious endowments.</w:t>
      </w:r>
    </w:p>
    <w:p w14:paraId="25F6EF66" w14:textId="77777777" w:rsidR="00B558DB" w:rsidRPr="00B558DB" w:rsidRDefault="00B558DB" w:rsidP="00B558DB">
      <w:pPr>
        <w:numPr>
          <w:ilvl w:val="0"/>
          <w:numId w:val="14"/>
        </w:numPr>
      </w:pPr>
      <w:r w:rsidRPr="00B558DB">
        <w:t>The regulatory provisions were necessary for public interest and did not infringe upon essential religious practices.</w:t>
      </w:r>
    </w:p>
    <w:p w14:paraId="0D4AE27E" w14:textId="77777777" w:rsidR="00B558DB" w:rsidRPr="00B558DB" w:rsidRDefault="00B558DB" w:rsidP="00B558DB">
      <w:r w:rsidRPr="00B558DB">
        <w:rPr>
          <w:b/>
          <w:bCs/>
        </w:rPr>
        <w:t>Respondent (</w:t>
      </w:r>
      <w:proofErr w:type="spellStart"/>
      <w:r w:rsidRPr="00B558DB">
        <w:rPr>
          <w:b/>
          <w:bCs/>
        </w:rPr>
        <w:t>Shirur</w:t>
      </w:r>
      <w:proofErr w:type="spellEnd"/>
      <w:r w:rsidRPr="00B558DB">
        <w:rPr>
          <w:b/>
          <w:bCs/>
        </w:rPr>
        <w:t xml:space="preserve"> Mutt):</w:t>
      </w:r>
    </w:p>
    <w:p w14:paraId="0CDFA55D" w14:textId="77777777" w:rsidR="00B558DB" w:rsidRPr="00B558DB" w:rsidRDefault="00B558DB" w:rsidP="00B558DB">
      <w:pPr>
        <w:numPr>
          <w:ilvl w:val="0"/>
          <w:numId w:val="15"/>
        </w:numPr>
      </w:pPr>
      <w:r w:rsidRPr="00B558DB">
        <w:t>The Act’s provisions amounted to excessive state control, violating the autonomy of the religious denomination.</w:t>
      </w:r>
    </w:p>
    <w:p w14:paraId="7AD78CFD" w14:textId="77777777" w:rsidR="00B558DB" w:rsidRPr="00B558DB" w:rsidRDefault="00B558DB" w:rsidP="00B558DB">
      <w:pPr>
        <w:numPr>
          <w:ilvl w:val="0"/>
          <w:numId w:val="15"/>
        </w:numPr>
      </w:pPr>
      <w:r w:rsidRPr="00B558DB">
        <w:t>The right to manage religious affairs and property was protected under Articles 25 and 26.</w:t>
      </w:r>
    </w:p>
    <w:p w14:paraId="3A48CC8F" w14:textId="77777777" w:rsidR="00B558DB" w:rsidRPr="00B558DB" w:rsidRDefault="00B558DB" w:rsidP="00B558DB">
      <w:r w:rsidRPr="00B558DB">
        <w:pict w14:anchorId="65D90477">
          <v:rect id="_x0000_i1201" style="width:0;height:.75pt" o:hralign="center" o:hrstd="t" o:hr="t" fillcolor="#a0a0a0" stroked="f"/>
        </w:pict>
      </w:r>
    </w:p>
    <w:p w14:paraId="15DC4D2A" w14:textId="77777777" w:rsidR="00B558DB" w:rsidRPr="00B558DB" w:rsidRDefault="00B558DB" w:rsidP="00B558DB">
      <w:pPr>
        <w:rPr>
          <w:b/>
          <w:bCs/>
        </w:rPr>
      </w:pPr>
      <w:r w:rsidRPr="00B558DB">
        <w:rPr>
          <w:b/>
          <w:bCs/>
        </w:rPr>
        <w:t>DISCUSSION</w:t>
      </w:r>
    </w:p>
    <w:p w14:paraId="3F88F51D" w14:textId="77777777" w:rsidR="00B558DB" w:rsidRPr="00B558DB" w:rsidRDefault="00B558DB" w:rsidP="00B558DB">
      <w:pPr>
        <w:rPr>
          <w:b/>
          <w:bCs/>
        </w:rPr>
      </w:pPr>
      <w:r w:rsidRPr="00B558DB">
        <w:rPr>
          <w:b/>
          <w:bCs/>
        </w:rPr>
        <w:t>Court’s Observations and Ruling</w:t>
      </w:r>
    </w:p>
    <w:p w14:paraId="04301D80" w14:textId="77777777" w:rsidR="00B558DB" w:rsidRPr="00B558DB" w:rsidRDefault="00B558DB" w:rsidP="00B558DB">
      <w:r w:rsidRPr="00B558DB">
        <w:t>The Supreme Court held that while the state could regulate secular activities associated with religious practice, it could not interfere with essential religious practices or the management of religious affairs. The Court struck down several sections of the Act as unconstitutional, ruling that they violated the fundamental rights of the religious denomination</w:t>
      </w:r>
      <w:hyperlink r:id="rId30" w:tgtFrame="_blank" w:history="1">
        <w:r w:rsidRPr="00B558DB">
          <w:rPr>
            <w:rStyle w:val="Hyperlink"/>
          </w:rPr>
          <w:t>3</w:t>
        </w:r>
      </w:hyperlink>
      <w:hyperlink r:id="rId31" w:tgtFrame="_blank" w:history="1">
        <w:r w:rsidRPr="00B558DB">
          <w:rPr>
            <w:rStyle w:val="Hyperlink"/>
          </w:rPr>
          <w:t>7</w:t>
        </w:r>
      </w:hyperlink>
      <w:hyperlink r:id="rId32" w:tgtFrame="_blank" w:history="1">
        <w:r w:rsidRPr="00B558DB">
          <w:rPr>
            <w:rStyle w:val="Hyperlink"/>
          </w:rPr>
          <w:t>8</w:t>
        </w:r>
      </w:hyperlink>
      <w:hyperlink r:id="rId33" w:tgtFrame="_blank" w:history="1">
        <w:r w:rsidRPr="00B558DB">
          <w:rPr>
            <w:rStyle w:val="Hyperlink"/>
          </w:rPr>
          <w:t>9</w:t>
        </w:r>
      </w:hyperlink>
      <w:r w:rsidRPr="00B558DB">
        <w:t>.</w:t>
      </w:r>
    </w:p>
    <w:p w14:paraId="44E8614F" w14:textId="77777777" w:rsidR="00B558DB" w:rsidRPr="00B558DB" w:rsidRDefault="00B558DB" w:rsidP="00B558DB">
      <w:pPr>
        <w:rPr>
          <w:b/>
          <w:bCs/>
        </w:rPr>
      </w:pPr>
      <w:r w:rsidRPr="00B558DB">
        <w:rPr>
          <w:b/>
          <w:bCs/>
        </w:rPr>
        <w:t>Key Findings</w:t>
      </w:r>
    </w:p>
    <w:p w14:paraId="21E9FB2D" w14:textId="77777777" w:rsidR="00B558DB" w:rsidRPr="00B558DB" w:rsidRDefault="00B558DB" w:rsidP="00B558DB">
      <w:pPr>
        <w:numPr>
          <w:ilvl w:val="0"/>
          <w:numId w:val="16"/>
        </w:numPr>
      </w:pPr>
      <w:r w:rsidRPr="00B558DB">
        <w:rPr>
          <w:b/>
          <w:bCs/>
        </w:rPr>
        <w:t>Distinction between Secular and Religious Activities:</w:t>
      </w:r>
      <w:r w:rsidRPr="00B558DB">
        <w:t> The Court distinguished between the secular administration of property (which could be regulated) and essential religious practices (which were protected).</w:t>
      </w:r>
    </w:p>
    <w:p w14:paraId="2855C145" w14:textId="77777777" w:rsidR="00B558DB" w:rsidRPr="00B558DB" w:rsidRDefault="00B558DB" w:rsidP="00B558DB">
      <w:pPr>
        <w:numPr>
          <w:ilvl w:val="0"/>
          <w:numId w:val="16"/>
        </w:numPr>
      </w:pPr>
      <w:r w:rsidRPr="00B558DB">
        <w:rPr>
          <w:b/>
          <w:bCs/>
        </w:rPr>
        <w:t>Autonomy of Religious Denominations:</w:t>
      </w:r>
      <w:r w:rsidRPr="00B558DB">
        <w:t> Articles 25 and 26 guarantee religious denominations the right to manage their own affairs in matters of religion, subject only to public order, morality, and health.</w:t>
      </w:r>
    </w:p>
    <w:p w14:paraId="7CE43853" w14:textId="77777777" w:rsidR="00B558DB" w:rsidRPr="00B558DB" w:rsidRDefault="00B558DB" w:rsidP="00B558DB">
      <w:pPr>
        <w:numPr>
          <w:ilvl w:val="0"/>
          <w:numId w:val="16"/>
        </w:numPr>
      </w:pPr>
      <w:r w:rsidRPr="00B558DB">
        <w:rPr>
          <w:b/>
          <w:bCs/>
        </w:rPr>
        <w:t>Tax vs. Fee:</w:t>
      </w:r>
      <w:r w:rsidRPr="00B558DB">
        <w:t> The Court found that Section 76(1) of the Act, which imposed a levy on religious institutions, was a tax and not a fee. Since the state legislature lacked the authority to impose such a tax, the provision was held void</w:t>
      </w:r>
      <w:hyperlink r:id="rId34" w:tgtFrame="_blank" w:history="1">
        <w:r w:rsidRPr="00B558DB">
          <w:rPr>
            <w:rStyle w:val="Hyperlink"/>
          </w:rPr>
          <w:t>7</w:t>
        </w:r>
      </w:hyperlink>
      <w:hyperlink r:id="rId35" w:tgtFrame="_blank" w:history="1">
        <w:r w:rsidRPr="00B558DB">
          <w:rPr>
            <w:rStyle w:val="Hyperlink"/>
          </w:rPr>
          <w:t>8</w:t>
        </w:r>
      </w:hyperlink>
      <w:hyperlink r:id="rId36" w:tgtFrame="_blank" w:history="1">
        <w:r w:rsidRPr="00B558DB">
          <w:rPr>
            <w:rStyle w:val="Hyperlink"/>
          </w:rPr>
          <w:t>10</w:t>
        </w:r>
      </w:hyperlink>
      <w:r w:rsidRPr="00B558DB">
        <w:t>.</w:t>
      </w:r>
    </w:p>
    <w:p w14:paraId="5A51B433" w14:textId="77777777" w:rsidR="00B558DB" w:rsidRPr="00B558DB" w:rsidRDefault="00B558DB" w:rsidP="00B558DB">
      <w:pPr>
        <w:numPr>
          <w:ilvl w:val="0"/>
          <w:numId w:val="16"/>
        </w:numPr>
      </w:pPr>
      <w:r w:rsidRPr="00B558DB">
        <w:rPr>
          <w:b/>
          <w:bCs/>
        </w:rPr>
        <w:t>Scope of “Property” Rights:</w:t>
      </w:r>
      <w:r w:rsidRPr="00B558DB">
        <w:t xml:space="preserve"> The Court interpreted “property” in Article 19(1)(f) broadly, holding that the </w:t>
      </w:r>
      <w:proofErr w:type="spellStart"/>
      <w:r w:rsidRPr="00B558DB">
        <w:t>Mathadhipati’s</w:t>
      </w:r>
      <w:proofErr w:type="spellEnd"/>
      <w:r w:rsidRPr="00B558DB">
        <w:t xml:space="preserve"> rights included both office and beneficial interest in the property</w:t>
      </w:r>
      <w:hyperlink r:id="rId37" w:tgtFrame="_blank" w:history="1">
        <w:r w:rsidRPr="00B558DB">
          <w:rPr>
            <w:rStyle w:val="Hyperlink"/>
          </w:rPr>
          <w:t>7</w:t>
        </w:r>
      </w:hyperlink>
      <w:hyperlink r:id="rId38" w:tgtFrame="_blank" w:history="1">
        <w:r w:rsidRPr="00B558DB">
          <w:rPr>
            <w:rStyle w:val="Hyperlink"/>
          </w:rPr>
          <w:t>8</w:t>
        </w:r>
      </w:hyperlink>
      <w:hyperlink r:id="rId39" w:tgtFrame="_blank" w:history="1">
        <w:r w:rsidRPr="00B558DB">
          <w:rPr>
            <w:rStyle w:val="Hyperlink"/>
          </w:rPr>
          <w:t>10</w:t>
        </w:r>
      </w:hyperlink>
      <w:r w:rsidRPr="00B558DB">
        <w:t>.</w:t>
      </w:r>
    </w:p>
    <w:p w14:paraId="0B7ADFAC" w14:textId="77777777" w:rsidR="00B558DB" w:rsidRPr="00B558DB" w:rsidRDefault="00B558DB" w:rsidP="00B558DB">
      <w:pPr>
        <w:rPr>
          <w:b/>
          <w:bCs/>
        </w:rPr>
      </w:pPr>
      <w:r w:rsidRPr="00B558DB">
        <w:rPr>
          <w:b/>
          <w:bCs/>
        </w:rPr>
        <w:t>Ratio Decidendi</w:t>
      </w:r>
    </w:p>
    <w:p w14:paraId="03E3867B" w14:textId="77777777" w:rsidR="00B558DB" w:rsidRPr="00B558DB" w:rsidRDefault="00B558DB" w:rsidP="00B558DB">
      <w:r w:rsidRPr="00B558DB">
        <w:t>The ratio of the case is that the state cannot regulate the essential religious practices or internal management of religious denominations, but can regulate secular aspects such as financial administration, provided such regulation is reasonable and does not infringe upon fundamental rights</w:t>
      </w:r>
      <w:hyperlink r:id="rId40" w:tgtFrame="_blank" w:history="1">
        <w:r w:rsidRPr="00B558DB">
          <w:rPr>
            <w:rStyle w:val="Hyperlink"/>
          </w:rPr>
          <w:t>3</w:t>
        </w:r>
      </w:hyperlink>
      <w:hyperlink r:id="rId41" w:tgtFrame="_blank" w:history="1">
        <w:r w:rsidRPr="00B558DB">
          <w:rPr>
            <w:rStyle w:val="Hyperlink"/>
          </w:rPr>
          <w:t>7</w:t>
        </w:r>
      </w:hyperlink>
      <w:hyperlink r:id="rId42" w:tgtFrame="_blank" w:history="1">
        <w:r w:rsidRPr="00B558DB">
          <w:rPr>
            <w:rStyle w:val="Hyperlink"/>
          </w:rPr>
          <w:t>8</w:t>
        </w:r>
      </w:hyperlink>
      <w:hyperlink r:id="rId43" w:tgtFrame="_blank" w:history="1">
        <w:r w:rsidRPr="00B558DB">
          <w:rPr>
            <w:rStyle w:val="Hyperlink"/>
          </w:rPr>
          <w:t>9</w:t>
        </w:r>
      </w:hyperlink>
      <w:r w:rsidRPr="00B558DB">
        <w:t>.</w:t>
      </w:r>
    </w:p>
    <w:p w14:paraId="4AAACA9D" w14:textId="77777777" w:rsidR="00B558DB" w:rsidRPr="00B558DB" w:rsidRDefault="00B558DB" w:rsidP="00B558DB">
      <w:pPr>
        <w:rPr>
          <w:b/>
          <w:bCs/>
        </w:rPr>
      </w:pPr>
      <w:r w:rsidRPr="00B558DB">
        <w:rPr>
          <w:b/>
          <w:bCs/>
        </w:rPr>
        <w:t>Obiter Dicta</w:t>
      </w:r>
    </w:p>
    <w:p w14:paraId="152BD024" w14:textId="77777777" w:rsidR="00B558DB" w:rsidRPr="00B558DB" w:rsidRDefault="00B558DB" w:rsidP="00B558DB">
      <w:r w:rsidRPr="00B558DB">
        <w:t>The Court clarified that the term “religion” in Articles 25 and 26 covers all rituals and practices integral to a religion, and the state is not competent to determine what constitutes an essential religious practice</w:t>
      </w:r>
      <w:hyperlink r:id="rId44" w:tgtFrame="_blank" w:history="1">
        <w:r w:rsidRPr="00B558DB">
          <w:rPr>
            <w:rStyle w:val="Hyperlink"/>
          </w:rPr>
          <w:t>10</w:t>
        </w:r>
      </w:hyperlink>
      <w:r w:rsidRPr="00B558DB">
        <w:t>.</w:t>
      </w:r>
    </w:p>
    <w:p w14:paraId="4CDCA628" w14:textId="77777777" w:rsidR="00B558DB" w:rsidRPr="00B558DB" w:rsidRDefault="00B558DB" w:rsidP="00B558DB">
      <w:r w:rsidRPr="00B558DB">
        <w:pict w14:anchorId="518D46BC">
          <v:rect id="_x0000_i1202" style="width:0;height:.75pt" o:hralign="center" o:hrstd="t" o:hr="t" fillcolor="#a0a0a0" stroked="f"/>
        </w:pict>
      </w:r>
    </w:p>
    <w:p w14:paraId="47DF2565" w14:textId="77777777" w:rsidR="00B558DB" w:rsidRPr="00B558DB" w:rsidRDefault="00B558DB" w:rsidP="00B558DB">
      <w:pPr>
        <w:rPr>
          <w:b/>
          <w:bCs/>
        </w:rPr>
      </w:pPr>
      <w:r w:rsidRPr="00B558DB">
        <w:rPr>
          <w:b/>
          <w:bCs/>
        </w:rPr>
        <w:t>IMPACT AND OUTCOME</w:t>
      </w:r>
    </w:p>
    <w:p w14:paraId="56AA7DDD" w14:textId="77777777" w:rsidR="00B558DB" w:rsidRPr="00B558DB" w:rsidRDefault="00B558DB" w:rsidP="00B558DB">
      <w:r w:rsidRPr="00B558DB">
        <w:t xml:space="preserve">The </w:t>
      </w:r>
      <w:proofErr w:type="spellStart"/>
      <w:r w:rsidRPr="00B558DB">
        <w:t>Shirur</w:t>
      </w:r>
      <w:proofErr w:type="spellEnd"/>
      <w:r w:rsidRPr="00B558DB">
        <w:t xml:space="preserve"> Mutt judgment set a precedent for the protection of religious freedoms and property rights in India. It has been cited in numerous subsequent cases to delineate the limits of state regulation over religious institutions. The case is instrumental in defining the scope of Articles 25 and 26 and remains a touchstone for debates on religious autonomy and state intervention</w:t>
      </w:r>
      <w:hyperlink r:id="rId45" w:tgtFrame="_blank" w:history="1">
        <w:r w:rsidRPr="00B558DB">
          <w:rPr>
            <w:rStyle w:val="Hyperlink"/>
          </w:rPr>
          <w:t>7</w:t>
        </w:r>
      </w:hyperlink>
      <w:hyperlink r:id="rId46" w:tgtFrame="_blank" w:history="1">
        <w:r w:rsidRPr="00B558DB">
          <w:rPr>
            <w:rStyle w:val="Hyperlink"/>
          </w:rPr>
          <w:t>9</w:t>
        </w:r>
      </w:hyperlink>
      <w:hyperlink r:id="rId47" w:tgtFrame="_blank" w:history="1">
        <w:r w:rsidRPr="00B558DB">
          <w:rPr>
            <w:rStyle w:val="Hyperlink"/>
          </w:rPr>
          <w:t>10</w:t>
        </w:r>
      </w:hyperlink>
      <w:r w:rsidRPr="00B558DB">
        <w:t>.</w:t>
      </w:r>
    </w:p>
    <w:p w14:paraId="65AB6FE2" w14:textId="77777777" w:rsidR="00B558DB" w:rsidRPr="00B558DB" w:rsidRDefault="00B558DB" w:rsidP="00B558DB">
      <w:r w:rsidRPr="00B558DB">
        <w:pict w14:anchorId="33DF7DA7">
          <v:rect id="_x0000_i1203" style="width:0;height:.75pt" o:hralign="center" o:hrstd="t" o:hr="t" fillcolor="#a0a0a0" stroked="f"/>
        </w:pict>
      </w:r>
    </w:p>
    <w:p w14:paraId="7CF020D1" w14:textId="77777777" w:rsidR="00B558DB" w:rsidRPr="00B558DB" w:rsidRDefault="00B558DB" w:rsidP="00B558DB">
      <w:pPr>
        <w:rPr>
          <w:b/>
          <w:bCs/>
        </w:rPr>
      </w:pPr>
      <w:r w:rsidRPr="00B558DB">
        <w:rPr>
          <w:b/>
          <w:bCs/>
        </w:rPr>
        <w:t>ANALYSIS AND DISCUSSION</w:t>
      </w:r>
    </w:p>
    <w:p w14:paraId="2327EB76" w14:textId="77777777" w:rsidR="00B558DB" w:rsidRPr="00B558DB" w:rsidRDefault="00B558DB" w:rsidP="00B558DB">
      <w:r w:rsidRPr="00B558DB">
        <w:t xml:space="preserve">The decision in </w:t>
      </w:r>
      <w:proofErr w:type="spellStart"/>
      <w:r w:rsidRPr="00B558DB">
        <w:t>Shirur</w:t>
      </w:r>
      <w:proofErr w:type="spellEnd"/>
      <w:r w:rsidRPr="00B558DB">
        <w:t xml:space="preserve"> Mutt has had a profound impact on Indian constitutional law. By drawing a clear line between secular and religious functions, the Court ensured that religious denominations retain significant autonomy over their internal affairs. However, the judgment also recognized the legitimate role of the state in regulating secular aspects to prevent mismanagement and protect public interest. The test of “essential religious practice” introduced by the Court has since become central to numerous cases involving religious freedom, though it has also generated debate regarding judicial competence in determining what is “essential” to a religion</w:t>
      </w:r>
      <w:hyperlink r:id="rId48" w:tgtFrame="_blank" w:history="1">
        <w:r w:rsidRPr="00B558DB">
          <w:rPr>
            <w:rStyle w:val="Hyperlink"/>
          </w:rPr>
          <w:t>7</w:t>
        </w:r>
      </w:hyperlink>
      <w:hyperlink r:id="rId49" w:tgtFrame="_blank" w:history="1">
        <w:r w:rsidRPr="00B558DB">
          <w:rPr>
            <w:rStyle w:val="Hyperlink"/>
          </w:rPr>
          <w:t>9</w:t>
        </w:r>
      </w:hyperlink>
      <w:hyperlink r:id="rId50" w:tgtFrame="_blank" w:history="1">
        <w:r w:rsidRPr="00B558DB">
          <w:rPr>
            <w:rStyle w:val="Hyperlink"/>
          </w:rPr>
          <w:t>10</w:t>
        </w:r>
      </w:hyperlink>
      <w:r w:rsidRPr="00B558DB">
        <w:t>.</w:t>
      </w:r>
    </w:p>
    <w:p w14:paraId="4D80D952" w14:textId="77777777" w:rsidR="00B558DB" w:rsidRPr="00B558DB" w:rsidRDefault="00B558DB" w:rsidP="00B558DB">
      <w:r w:rsidRPr="00B558DB">
        <w:pict w14:anchorId="1FE443F7">
          <v:rect id="_x0000_i1204" style="width:0;height:.75pt" o:hralign="center" o:hrstd="t" o:hr="t" fillcolor="#a0a0a0" stroked="f"/>
        </w:pict>
      </w:r>
    </w:p>
    <w:p w14:paraId="631DF541" w14:textId="77777777" w:rsidR="00B558DB" w:rsidRPr="00B558DB" w:rsidRDefault="00B558DB" w:rsidP="00B558DB">
      <w:pPr>
        <w:rPr>
          <w:b/>
          <w:bCs/>
        </w:rPr>
      </w:pPr>
      <w:r w:rsidRPr="00B558DB">
        <w:rPr>
          <w:b/>
          <w:bCs/>
        </w:rPr>
        <w:t>CONCLUSION</w:t>
      </w:r>
    </w:p>
    <w:p w14:paraId="0F56AFFC" w14:textId="77777777" w:rsidR="00B558DB" w:rsidRPr="00B558DB" w:rsidRDefault="00B558DB" w:rsidP="00B558DB">
      <w:r w:rsidRPr="00B558DB">
        <w:t>The Supreme Court’s ruling in </w:t>
      </w:r>
      <w:r w:rsidRPr="00B558DB">
        <w:rPr>
          <w:i/>
          <w:iCs/>
        </w:rPr>
        <w:t xml:space="preserve">Commissioner, Hindu Religious Endowments v. Sri </w:t>
      </w:r>
      <w:proofErr w:type="spellStart"/>
      <w:r w:rsidRPr="00B558DB">
        <w:rPr>
          <w:i/>
          <w:iCs/>
        </w:rPr>
        <w:t>Lakshmindra</w:t>
      </w:r>
      <w:proofErr w:type="spellEnd"/>
      <w:r w:rsidRPr="00B558DB">
        <w:rPr>
          <w:i/>
          <w:iCs/>
        </w:rPr>
        <w:t xml:space="preserve"> Thirtha </w:t>
      </w:r>
      <w:proofErr w:type="spellStart"/>
      <w:r w:rsidRPr="00B558DB">
        <w:rPr>
          <w:i/>
          <w:iCs/>
        </w:rPr>
        <w:t>Swamiar</w:t>
      </w:r>
      <w:proofErr w:type="spellEnd"/>
      <w:r w:rsidRPr="00B558DB">
        <w:t> remains a foundational judgment for understanding the balance between religious freedom and state regulation in India. It affirms the autonomy of religious denominations while allowing for reasonable regulation of secular matters. The principles laid down continue to guide courts and policymakers in navigating the complex relationship between religion and the state.</w:t>
      </w:r>
    </w:p>
    <w:p w14:paraId="0BAA0335" w14:textId="77777777" w:rsidR="00B558DB" w:rsidRPr="00B558DB" w:rsidRDefault="00B558DB" w:rsidP="00B558DB">
      <w:r w:rsidRPr="00B558DB">
        <w:pict w14:anchorId="13101B79">
          <v:rect id="_x0000_i1205" style="width:0;height:.75pt" o:hralign="center" o:hrstd="t" o:hr="t" fillcolor="#a0a0a0" stroked="f"/>
        </w:pict>
      </w:r>
    </w:p>
    <w:p w14:paraId="1449C5A0" w14:textId="77777777" w:rsidR="00B558DB" w:rsidRPr="00B558DB" w:rsidRDefault="00B558DB" w:rsidP="00B558DB">
      <w:pPr>
        <w:rPr>
          <w:b/>
          <w:bCs/>
        </w:rPr>
      </w:pPr>
      <w:r w:rsidRPr="00B558DB">
        <w:rPr>
          <w:b/>
          <w:bCs/>
        </w:rPr>
        <w:t>REFERENCES</w:t>
      </w:r>
    </w:p>
    <w:p w14:paraId="6D2F3588" w14:textId="77777777" w:rsidR="00B558DB" w:rsidRPr="00B558DB" w:rsidRDefault="00B558DB" w:rsidP="00B558DB">
      <w:pPr>
        <w:rPr>
          <w:b/>
          <w:bCs/>
        </w:rPr>
      </w:pPr>
      <w:r w:rsidRPr="00B558DB">
        <w:rPr>
          <w:b/>
          <w:bCs/>
        </w:rPr>
        <w:t>PRIMARY SOURCES</w:t>
      </w:r>
    </w:p>
    <w:p w14:paraId="47259B44" w14:textId="77777777" w:rsidR="00B558DB" w:rsidRPr="00B558DB" w:rsidRDefault="00B558DB" w:rsidP="00B558DB">
      <w:pPr>
        <w:numPr>
          <w:ilvl w:val="0"/>
          <w:numId w:val="17"/>
        </w:numPr>
      </w:pPr>
      <w:r w:rsidRPr="00B558DB">
        <w:rPr>
          <w:i/>
          <w:iCs/>
        </w:rPr>
        <w:t xml:space="preserve">The Commissioner, Hindu Religious Endowments, Madras v. Sri </w:t>
      </w:r>
      <w:proofErr w:type="spellStart"/>
      <w:r w:rsidRPr="00B558DB">
        <w:rPr>
          <w:i/>
          <w:iCs/>
        </w:rPr>
        <w:t>Lakshmindra</w:t>
      </w:r>
      <w:proofErr w:type="spellEnd"/>
      <w:r w:rsidRPr="00B558DB">
        <w:rPr>
          <w:i/>
          <w:iCs/>
        </w:rPr>
        <w:t xml:space="preserve"> Thirtha </w:t>
      </w:r>
      <w:proofErr w:type="spellStart"/>
      <w:r w:rsidRPr="00B558DB">
        <w:rPr>
          <w:i/>
          <w:iCs/>
        </w:rPr>
        <w:t>Swamiar</w:t>
      </w:r>
      <w:proofErr w:type="spellEnd"/>
      <w:r w:rsidRPr="00B558DB">
        <w:rPr>
          <w:i/>
          <w:iCs/>
        </w:rPr>
        <w:t xml:space="preserve"> of Sri </w:t>
      </w:r>
      <w:proofErr w:type="spellStart"/>
      <w:r w:rsidRPr="00B558DB">
        <w:rPr>
          <w:i/>
          <w:iCs/>
        </w:rPr>
        <w:t>Shirur</w:t>
      </w:r>
      <w:proofErr w:type="spellEnd"/>
      <w:r w:rsidRPr="00B558DB">
        <w:rPr>
          <w:i/>
          <w:iCs/>
        </w:rPr>
        <w:t xml:space="preserve"> Mutt</w:t>
      </w:r>
      <w:r w:rsidRPr="00B558DB">
        <w:t>, AIR 1954 SC 282.</w:t>
      </w:r>
    </w:p>
    <w:p w14:paraId="08C25919" w14:textId="77777777" w:rsidR="00B558DB" w:rsidRPr="00B558DB" w:rsidRDefault="00B558DB" w:rsidP="00B558DB">
      <w:pPr>
        <w:numPr>
          <w:ilvl w:val="0"/>
          <w:numId w:val="17"/>
        </w:numPr>
      </w:pPr>
      <w:r w:rsidRPr="00B558DB">
        <w:t>The Constitution of India, Articles 19(1)(f), 25, 26, 27.</w:t>
      </w:r>
    </w:p>
    <w:p w14:paraId="22E0BBF2" w14:textId="77777777" w:rsidR="00B558DB" w:rsidRPr="00B558DB" w:rsidRDefault="00B558DB" w:rsidP="00B558DB">
      <w:pPr>
        <w:rPr>
          <w:b/>
          <w:bCs/>
        </w:rPr>
      </w:pPr>
      <w:r w:rsidRPr="00B558DB">
        <w:rPr>
          <w:b/>
          <w:bCs/>
        </w:rPr>
        <w:t>SECONDARY SOURCES</w:t>
      </w:r>
    </w:p>
    <w:p w14:paraId="2296FEAB" w14:textId="77777777" w:rsidR="00B558DB" w:rsidRPr="00B558DB" w:rsidRDefault="00B558DB" w:rsidP="00B558DB">
      <w:pPr>
        <w:numPr>
          <w:ilvl w:val="0"/>
          <w:numId w:val="18"/>
        </w:numPr>
      </w:pPr>
      <w:proofErr w:type="spellStart"/>
      <w:r w:rsidRPr="00B558DB">
        <w:t>LawBhoomi</w:t>
      </w:r>
      <w:proofErr w:type="spellEnd"/>
      <w:r w:rsidRPr="00B558DB">
        <w:t>, “</w:t>
      </w:r>
      <w:proofErr w:type="spellStart"/>
      <w:r w:rsidRPr="00B558DB">
        <w:t>Shirur</w:t>
      </w:r>
      <w:proofErr w:type="spellEnd"/>
      <w:r w:rsidRPr="00B558DB">
        <w:t xml:space="preserve"> Mutt Case,” (2025).</w:t>
      </w:r>
    </w:p>
    <w:p w14:paraId="15B4B21A" w14:textId="77777777" w:rsidR="00B558DB" w:rsidRPr="00B558DB" w:rsidRDefault="00B558DB" w:rsidP="00B558DB">
      <w:pPr>
        <w:numPr>
          <w:ilvl w:val="0"/>
          <w:numId w:val="18"/>
        </w:numPr>
      </w:pPr>
      <w:r w:rsidRPr="00B558DB">
        <w:t xml:space="preserve">Saral UPSC, “The Commissioner, Hindu Religious Endowments, Madras vs. Sri </w:t>
      </w:r>
      <w:proofErr w:type="spellStart"/>
      <w:r w:rsidRPr="00B558DB">
        <w:t>Lakshmindra</w:t>
      </w:r>
      <w:proofErr w:type="spellEnd"/>
      <w:r w:rsidRPr="00B558DB">
        <w:t xml:space="preserve"> Thirtha </w:t>
      </w:r>
      <w:proofErr w:type="spellStart"/>
      <w:r w:rsidRPr="00B558DB">
        <w:t>Swamiar</w:t>
      </w:r>
      <w:proofErr w:type="spellEnd"/>
      <w:r w:rsidRPr="00B558DB">
        <w:t xml:space="preserve"> of Sri </w:t>
      </w:r>
      <w:proofErr w:type="spellStart"/>
      <w:r w:rsidRPr="00B558DB">
        <w:t>Shirur</w:t>
      </w:r>
      <w:proofErr w:type="spellEnd"/>
      <w:r w:rsidRPr="00B558DB">
        <w:t xml:space="preserve"> Mutt Case Summary.”</w:t>
      </w:r>
    </w:p>
    <w:p w14:paraId="502149F7" w14:textId="77777777" w:rsidR="00B558DB" w:rsidRPr="00B558DB" w:rsidRDefault="00B558DB" w:rsidP="00B558DB">
      <w:pPr>
        <w:numPr>
          <w:ilvl w:val="0"/>
          <w:numId w:val="18"/>
        </w:numPr>
      </w:pPr>
      <w:proofErr w:type="spellStart"/>
      <w:r w:rsidRPr="00B558DB">
        <w:t>LawFoyer</w:t>
      </w:r>
      <w:proofErr w:type="spellEnd"/>
      <w:r w:rsidRPr="00B558DB">
        <w:t xml:space="preserve">, “The Commissioner, Hindu Religious Endowments, Madras v. Sri </w:t>
      </w:r>
      <w:proofErr w:type="spellStart"/>
      <w:r w:rsidRPr="00B558DB">
        <w:t>Lakshmindra</w:t>
      </w:r>
      <w:proofErr w:type="spellEnd"/>
      <w:r w:rsidRPr="00B558DB">
        <w:t xml:space="preserve"> Thirtha </w:t>
      </w:r>
      <w:proofErr w:type="spellStart"/>
      <w:r w:rsidRPr="00B558DB">
        <w:t>Swamiar</w:t>
      </w:r>
      <w:proofErr w:type="spellEnd"/>
      <w:r w:rsidRPr="00B558DB">
        <w:t xml:space="preserve"> of Sri </w:t>
      </w:r>
      <w:proofErr w:type="spellStart"/>
      <w:r w:rsidRPr="00B558DB">
        <w:t>Shirur</w:t>
      </w:r>
      <w:proofErr w:type="spellEnd"/>
      <w:r w:rsidRPr="00B558DB">
        <w:t xml:space="preserve"> Mutt.”</w:t>
      </w:r>
    </w:p>
    <w:p w14:paraId="281F5D40" w14:textId="77777777" w:rsidR="00B558DB" w:rsidRPr="00B558DB" w:rsidRDefault="00B558DB" w:rsidP="00B558DB">
      <w:pPr>
        <w:numPr>
          <w:ilvl w:val="0"/>
          <w:numId w:val="18"/>
        </w:numPr>
      </w:pPr>
      <w:r w:rsidRPr="00B558DB">
        <w:t xml:space="preserve">Indian Kanoon, “The Commissioner, Hindu Religious Endowments vs. Sri </w:t>
      </w:r>
      <w:proofErr w:type="spellStart"/>
      <w:r w:rsidRPr="00B558DB">
        <w:t>Lakshmindra</w:t>
      </w:r>
      <w:proofErr w:type="spellEnd"/>
      <w:r w:rsidRPr="00B558DB">
        <w:t xml:space="preserve"> Thirtha </w:t>
      </w:r>
      <w:proofErr w:type="spellStart"/>
      <w:r w:rsidRPr="00B558DB">
        <w:t>Swamiar</w:t>
      </w:r>
      <w:proofErr w:type="spellEnd"/>
      <w:r w:rsidRPr="00B558DB">
        <w:t>.”</w:t>
      </w:r>
    </w:p>
    <w:p w14:paraId="564935E4" w14:textId="77777777" w:rsidR="00B558DB" w:rsidRPr="00B558DB" w:rsidRDefault="00B558DB" w:rsidP="00B558DB">
      <w:pPr>
        <w:numPr>
          <w:ilvl w:val="0"/>
          <w:numId w:val="18"/>
        </w:numPr>
      </w:pPr>
      <w:r w:rsidRPr="00B558DB">
        <w:t xml:space="preserve">LinkedIn, “The Commissioner, Hindu Religious Endowments, Madras vs. Sri </w:t>
      </w:r>
      <w:proofErr w:type="spellStart"/>
      <w:r w:rsidRPr="00B558DB">
        <w:t>Lakshmindra</w:t>
      </w:r>
      <w:proofErr w:type="spellEnd"/>
      <w:r w:rsidRPr="00B558DB">
        <w:t xml:space="preserve"> Thirtha </w:t>
      </w:r>
      <w:proofErr w:type="spellStart"/>
      <w:r w:rsidRPr="00B558DB">
        <w:t>Swamiar</w:t>
      </w:r>
      <w:proofErr w:type="spellEnd"/>
      <w:r w:rsidRPr="00B558DB">
        <w:t xml:space="preserve"> of </w:t>
      </w:r>
      <w:proofErr w:type="spellStart"/>
      <w:r w:rsidRPr="00B558DB">
        <w:t>Shirur</w:t>
      </w:r>
      <w:proofErr w:type="spellEnd"/>
      <w:r w:rsidRPr="00B558DB">
        <w:t xml:space="preserve"> Mutt.”</w:t>
      </w:r>
    </w:p>
    <w:p w14:paraId="352E872F" w14:textId="77777777" w:rsidR="00F1760C" w:rsidRPr="00897C9C" w:rsidRDefault="00F1760C" w:rsidP="00897C9C"/>
    <w:sectPr w:rsidR="00F1760C" w:rsidRPr="00897C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97FA1"/>
    <w:multiLevelType w:val="multilevel"/>
    <w:tmpl w:val="3152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F4024C"/>
    <w:multiLevelType w:val="multilevel"/>
    <w:tmpl w:val="BABEA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57BA4"/>
    <w:multiLevelType w:val="multilevel"/>
    <w:tmpl w:val="3A2E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BF2200"/>
    <w:multiLevelType w:val="multilevel"/>
    <w:tmpl w:val="0DC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244078"/>
    <w:multiLevelType w:val="multilevel"/>
    <w:tmpl w:val="EF4CD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1D5B51"/>
    <w:multiLevelType w:val="multilevel"/>
    <w:tmpl w:val="DAD0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086509"/>
    <w:multiLevelType w:val="multilevel"/>
    <w:tmpl w:val="A32C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FD1E9F"/>
    <w:multiLevelType w:val="multilevel"/>
    <w:tmpl w:val="DC74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1E0CEE"/>
    <w:multiLevelType w:val="multilevel"/>
    <w:tmpl w:val="7DBA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1E6660"/>
    <w:multiLevelType w:val="multilevel"/>
    <w:tmpl w:val="9644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DC07E6"/>
    <w:multiLevelType w:val="multilevel"/>
    <w:tmpl w:val="8764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C809EA"/>
    <w:multiLevelType w:val="multilevel"/>
    <w:tmpl w:val="33B0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F61085"/>
    <w:multiLevelType w:val="multilevel"/>
    <w:tmpl w:val="CD3E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8A6804"/>
    <w:multiLevelType w:val="multilevel"/>
    <w:tmpl w:val="67E0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D161ED"/>
    <w:multiLevelType w:val="multilevel"/>
    <w:tmpl w:val="1798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B502E5"/>
    <w:multiLevelType w:val="multilevel"/>
    <w:tmpl w:val="71BA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2CD7BDC"/>
    <w:multiLevelType w:val="multilevel"/>
    <w:tmpl w:val="F0BE6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317CE9"/>
    <w:multiLevelType w:val="multilevel"/>
    <w:tmpl w:val="9846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2066217">
    <w:abstractNumId w:val="13"/>
  </w:num>
  <w:num w:numId="2" w16cid:durableId="945885730">
    <w:abstractNumId w:val="0"/>
  </w:num>
  <w:num w:numId="3" w16cid:durableId="2083866816">
    <w:abstractNumId w:val="14"/>
  </w:num>
  <w:num w:numId="4" w16cid:durableId="729618348">
    <w:abstractNumId w:val="6"/>
  </w:num>
  <w:num w:numId="5" w16cid:durableId="718087248">
    <w:abstractNumId w:val="9"/>
  </w:num>
  <w:num w:numId="6" w16cid:durableId="990601156">
    <w:abstractNumId w:val="10"/>
  </w:num>
  <w:num w:numId="7" w16cid:durableId="1229263413">
    <w:abstractNumId w:val="5"/>
  </w:num>
  <w:num w:numId="8" w16cid:durableId="723721524">
    <w:abstractNumId w:val="8"/>
  </w:num>
  <w:num w:numId="9" w16cid:durableId="896086655">
    <w:abstractNumId w:val="4"/>
  </w:num>
  <w:num w:numId="10" w16cid:durableId="1257708541">
    <w:abstractNumId w:val="17"/>
  </w:num>
  <w:num w:numId="11" w16cid:durableId="1683583085">
    <w:abstractNumId w:val="11"/>
  </w:num>
  <w:num w:numId="12" w16cid:durableId="2076707273">
    <w:abstractNumId w:val="12"/>
  </w:num>
  <w:num w:numId="13" w16cid:durableId="1031152377">
    <w:abstractNumId w:val="3"/>
  </w:num>
  <w:num w:numId="14" w16cid:durableId="1992059794">
    <w:abstractNumId w:val="15"/>
  </w:num>
  <w:num w:numId="15" w16cid:durableId="538472706">
    <w:abstractNumId w:val="2"/>
  </w:num>
  <w:num w:numId="16" w16cid:durableId="1156726517">
    <w:abstractNumId w:val="7"/>
  </w:num>
  <w:num w:numId="17" w16cid:durableId="954141402">
    <w:abstractNumId w:val="16"/>
  </w:num>
  <w:num w:numId="18" w16cid:durableId="1997144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727"/>
    <w:rsid w:val="00043727"/>
    <w:rsid w:val="00066C75"/>
    <w:rsid w:val="001339AA"/>
    <w:rsid w:val="001E66F2"/>
    <w:rsid w:val="00305D13"/>
    <w:rsid w:val="0087723E"/>
    <w:rsid w:val="00897C9C"/>
    <w:rsid w:val="00B558DB"/>
    <w:rsid w:val="00DF5A4B"/>
    <w:rsid w:val="00E3146E"/>
    <w:rsid w:val="00F176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6DC2C"/>
  <w15:chartTrackingRefBased/>
  <w15:docId w15:val="{347316DE-F213-4E09-8D77-306C9DF3B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7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37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37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37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37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3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7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37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37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37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37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3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727"/>
    <w:rPr>
      <w:rFonts w:eastAsiaTheme="majorEastAsia" w:cstheme="majorBidi"/>
      <w:color w:val="272727" w:themeColor="text1" w:themeTint="D8"/>
    </w:rPr>
  </w:style>
  <w:style w:type="paragraph" w:styleId="Title">
    <w:name w:val="Title"/>
    <w:basedOn w:val="Normal"/>
    <w:next w:val="Normal"/>
    <w:link w:val="TitleChar"/>
    <w:uiPriority w:val="10"/>
    <w:qFormat/>
    <w:rsid w:val="00043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727"/>
    <w:pPr>
      <w:spacing w:before="160"/>
      <w:jc w:val="center"/>
    </w:pPr>
    <w:rPr>
      <w:i/>
      <w:iCs/>
      <w:color w:val="404040" w:themeColor="text1" w:themeTint="BF"/>
    </w:rPr>
  </w:style>
  <w:style w:type="character" w:customStyle="1" w:styleId="QuoteChar">
    <w:name w:val="Quote Char"/>
    <w:basedOn w:val="DefaultParagraphFont"/>
    <w:link w:val="Quote"/>
    <w:uiPriority w:val="29"/>
    <w:rsid w:val="00043727"/>
    <w:rPr>
      <w:i/>
      <w:iCs/>
      <w:color w:val="404040" w:themeColor="text1" w:themeTint="BF"/>
    </w:rPr>
  </w:style>
  <w:style w:type="paragraph" w:styleId="ListParagraph">
    <w:name w:val="List Paragraph"/>
    <w:basedOn w:val="Normal"/>
    <w:uiPriority w:val="34"/>
    <w:qFormat/>
    <w:rsid w:val="00043727"/>
    <w:pPr>
      <w:ind w:left="720"/>
      <w:contextualSpacing/>
    </w:pPr>
  </w:style>
  <w:style w:type="character" w:styleId="IntenseEmphasis">
    <w:name w:val="Intense Emphasis"/>
    <w:basedOn w:val="DefaultParagraphFont"/>
    <w:uiPriority w:val="21"/>
    <w:qFormat/>
    <w:rsid w:val="00043727"/>
    <w:rPr>
      <w:i/>
      <w:iCs/>
      <w:color w:val="2F5496" w:themeColor="accent1" w:themeShade="BF"/>
    </w:rPr>
  </w:style>
  <w:style w:type="paragraph" w:styleId="IntenseQuote">
    <w:name w:val="Intense Quote"/>
    <w:basedOn w:val="Normal"/>
    <w:next w:val="Normal"/>
    <w:link w:val="IntenseQuoteChar"/>
    <w:uiPriority w:val="30"/>
    <w:qFormat/>
    <w:rsid w:val="000437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727"/>
    <w:rPr>
      <w:i/>
      <w:iCs/>
      <w:color w:val="2F5496" w:themeColor="accent1" w:themeShade="BF"/>
    </w:rPr>
  </w:style>
  <w:style w:type="character" w:styleId="IntenseReference">
    <w:name w:val="Intense Reference"/>
    <w:basedOn w:val="DefaultParagraphFont"/>
    <w:uiPriority w:val="32"/>
    <w:qFormat/>
    <w:rsid w:val="00043727"/>
    <w:rPr>
      <w:b/>
      <w:bCs/>
      <w:smallCaps/>
      <w:color w:val="2F5496" w:themeColor="accent1" w:themeShade="BF"/>
      <w:spacing w:val="5"/>
    </w:rPr>
  </w:style>
  <w:style w:type="character" w:styleId="Hyperlink">
    <w:name w:val="Hyperlink"/>
    <w:basedOn w:val="DefaultParagraphFont"/>
    <w:uiPriority w:val="99"/>
    <w:unhideWhenUsed/>
    <w:rsid w:val="00066C75"/>
    <w:rPr>
      <w:color w:val="0563C1" w:themeColor="hyperlink"/>
      <w:u w:val="single"/>
    </w:rPr>
  </w:style>
  <w:style w:type="character" w:styleId="UnresolvedMention">
    <w:name w:val="Unresolved Mention"/>
    <w:basedOn w:val="DefaultParagraphFont"/>
    <w:uiPriority w:val="99"/>
    <w:semiHidden/>
    <w:unhideWhenUsed/>
    <w:rsid w:val="00066C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956890">
      <w:bodyDiv w:val="1"/>
      <w:marLeft w:val="0"/>
      <w:marRight w:val="0"/>
      <w:marTop w:val="0"/>
      <w:marBottom w:val="0"/>
      <w:divBdr>
        <w:top w:val="none" w:sz="0" w:space="0" w:color="auto"/>
        <w:left w:val="none" w:sz="0" w:space="0" w:color="auto"/>
        <w:bottom w:val="none" w:sz="0" w:space="0" w:color="auto"/>
        <w:right w:val="none" w:sz="0" w:space="0" w:color="auto"/>
      </w:divBdr>
    </w:div>
    <w:div w:id="1202330392">
      <w:bodyDiv w:val="1"/>
      <w:marLeft w:val="0"/>
      <w:marRight w:val="0"/>
      <w:marTop w:val="0"/>
      <w:marBottom w:val="0"/>
      <w:divBdr>
        <w:top w:val="none" w:sz="0" w:space="0" w:color="auto"/>
        <w:left w:val="none" w:sz="0" w:space="0" w:color="auto"/>
        <w:bottom w:val="none" w:sz="0" w:space="0" w:color="auto"/>
        <w:right w:val="none" w:sz="0" w:space="0" w:color="auto"/>
      </w:divBdr>
    </w:div>
    <w:div w:id="1952854566">
      <w:bodyDiv w:val="1"/>
      <w:marLeft w:val="0"/>
      <w:marRight w:val="0"/>
      <w:marTop w:val="0"/>
      <w:marBottom w:val="0"/>
      <w:divBdr>
        <w:top w:val="none" w:sz="0" w:space="0" w:color="auto"/>
        <w:left w:val="none" w:sz="0" w:space="0" w:color="auto"/>
        <w:bottom w:val="none" w:sz="0" w:space="0" w:color="auto"/>
        <w:right w:val="none" w:sz="0" w:space="0" w:color="auto"/>
      </w:divBdr>
      <w:divsChild>
        <w:div w:id="105782131">
          <w:marLeft w:val="0"/>
          <w:marRight w:val="0"/>
          <w:marTop w:val="0"/>
          <w:marBottom w:val="0"/>
          <w:divBdr>
            <w:top w:val="single" w:sz="2" w:space="0" w:color="E5E7EB"/>
            <w:left w:val="single" w:sz="2" w:space="0" w:color="E5E7EB"/>
            <w:bottom w:val="single" w:sz="2" w:space="0" w:color="E5E7EB"/>
            <w:right w:val="single" w:sz="2" w:space="0" w:color="E5E7EB"/>
          </w:divBdr>
          <w:divsChild>
            <w:div w:id="8529119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09961831">
      <w:bodyDiv w:val="1"/>
      <w:marLeft w:val="0"/>
      <w:marRight w:val="0"/>
      <w:marTop w:val="0"/>
      <w:marBottom w:val="0"/>
      <w:divBdr>
        <w:top w:val="none" w:sz="0" w:space="0" w:color="auto"/>
        <w:left w:val="none" w:sz="0" w:space="0" w:color="auto"/>
        <w:bottom w:val="none" w:sz="0" w:space="0" w:color="auto"/>
        <w:right w:val="none" w:sz="0" w:space="0" w:color="auto"/>
      </w:divBdr>
      <w:divsChild>
        <w:div w:id="692222838">
          <w:marLeft w:val="0"/>
          <w:marRight w:val="0"/>
          <w:marTop w:val="0"/>
          <w:marBottom w:val="0"/>
          <w:divBdr>
            <w:top w:val="single" w:sz="2" w:space="0" w:color="E5E7EB"/>
            <w:left w:val="single" w:sz="2" w:space="0" w:color="E5E7EB"/>
            <w:bottom w:val="single" w:sz="2" w:space="0" w:color="E5E7EB"/>
            <w:right w:val="single" w:sz="2" w:space="0" w:color="E5E7EB"/>
          </w:divBdr>
          <w:divsChild>
            <w:div w:id="6201142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awfoyer.in/the-commissioner-hindu-religious-endowments-madras-v-sri-lakshmindra-thirtha-swamiar-of-sri-shirur-mutt/" TargetMode="External"/><Relationship Id="rId18" Type="http://schemas.openxmlformats.org/officeDocument/2006/relationships/hyperlink" Target="https://lawfoyer.in/the-commissioner-hindu-religious-endowments-madras-v-sri-lakshmindra-thirtha-swamiar-of-sri-shirur-mutt/" TargetMode="External"/><Relationship Id="rId26" Type="http://schemas.openxmlformats.org/officeDocument/2006/relationships/hyperlink" Target="https://lawfoyer.in/the-commissioner-hindu-religious-endowments-madras-v-sri-lakshmindra-thirtha-swamiar-of-sri-shirur-mutt/" TargetMode="External"/><Relationship Id="rId39" Type="http://schemas.openxmlformats.org/officeDocument/2006/relationships/hyperlink" Target="https://www.linkedin.com/pulse/commissioner-hindu-religious-endowments-madras-vs-thirtha-kulkarni" TargetMode="External"/><Relationship Id="rId21" Type="http://schemas.openxmlformats.org/officeDocument/2006/relationships/hyperlink" Target="https://lawfyi.io/the-commissioner-hindu-religious-endowments-madras-vs-sri-lakshmindra-thirtha-swamiar-of-sri-shirur-mutt-on-16-april-1954/" TargetMode="External"/><Relationship Id="rId34" Type="http://schemas.openxmlformats.org/officeDocument/2006/relationships/hyperlink" Target="https://lawbhoomi.com/shirur-mutt-case/" TargetMode="External"/><Relationship Id="rId42" Type="http://schemas.openxmlformats.org/officeDocument/2006/relationships/hyperlink" Target="https://lawfyi.io/the-commissioner-hindu-religious-endowments-madras-vs-sri-lakshmindra-thirtha-swamiar-of-sri-shirur-mutt-on-16-april-1954/" TargetMode="External"/><Relationship Id="rId47" Type="http://schemas.openxmlformats.org/officeDocument/2006/relationships/hyperlink" Target="https://www.linkedin.com/pulse/commissioner-hindu-religious-endowments-madras-vs-thirtha-kulkarni" TargetMode="External"/><Relationship Id="rId50" Type="http://schemas.openxmlformats.org/officeDocument/2006/relationships/hyperlink" Target="https://www.linkedin.com/pulse/commissioner-hindu-religious-endowments-madras-vs-thirtha-kulkarni" TargetMode="External"/><Relationship Id="rId7" Type="http://schemas.openxmlformats.org/officeDocument/2006/relationships/hyperlink" Target="https://lawfyi.io/the-commissioner-hindu-religious-endowments-madras-vs-sri-lakshmindra-thirtha-swamiar-of-sri-shirur-mutt-on-16-april-1954/" TargetMode="External"/><Relationship Id="rId2" Type="http://schemas.openxmlformats.org/officeDocument/2006/relationships/styles" Target="styles.xml"/><Relationship Id="rId16" Type="http://schemas.openxmlformats.org/officeDocument/2006/relationships/hyperlink" Target="https://lawbhoomi.com/shirur-mutt-case/" TargetMode="External"/><Relationship Id="rId29" Type="http://schemas.openxmlformats.org/officeDocument/2006/relationships/hyperlink" Target="https://www.linkedin.com/pulse/commissioner-hindu-religious-endowments-madras-vs-thirtha-kulkarni" TargetMode="External"/><Relationship Id="rId11" Type="http://schemas.openxmlformats.org/officeDocument/2006/relationships/hyperlink" Target="https://lawfoyer.in/the-commissioner-hindu-religious-endowments-madras-v-sri-lakshmindra-thirtha-swamiar-of-sri-shirur-mutt/" TargetMode="External"/><Relationship Id="rId24" Type="http://schemas.openxmlformats.org/officeDocument/2006/relationships/hyperlink" Target="https://indiankanoon.org/doc/1430396/" TargetMode="External"/><Relationship Id="rId32" Type="http://schemas.openxmlformats.org/officeDocument/2006/relationships/hyperlink" Target="https://lawfyi.io/the-commissioner-hindu-religious-endowments-madras-vs-sri-lakshmindra-thirtha-swamiar-of-sri-shirur-mutt-on-16-april-1954/" TargetMode="External"/><Relationship Id="rId37" Type="http://schemas.openxmlformats.org/officeDocument/2006/relationships/hyperlink" Target="https://lawbhoomi.com/shirur-mutt-case/" TargetMode="External"/><Relationship Id="rId40" Type="http://schemas.openxmlformats.org/officeDocument/2006/relationships/hyperlink" Target="https://notes.saralupsc.com/the-commissioner-hindu-religious-endowments-madras-vs-sri-lakshmindra-thirtha-swamiar-of-sri-shirur-mutt-1954-summary-for-upsc-polity-notes/" TargetMode="External"/><Relationship Id="rId45" Type="http://schemas.openxmlformats.org/officeDocument/2006/relationships/hyperlink" Target="https://lawbhoomi.com/shirur-mutt-case/" TargetMode="External"/><Relationship Id="rId5" Type="http://schemas.openxmlformats.org/officeDocument/2006/relationships/hyperlink" Target="https://notes.saralupsc.com/the-commissioner-hindu-religious-endowments-madras-vs-sri-lakshmindra-thirtha-swamiar-of-sri-shirur-mutt-1954-summary-for-upsc-polity-notes/" TargetMode="External"/><Relationship Id="rId15" Type="http://schemas.openxmlformats.org/officeDocument/2006/relationships/hyperlink" Target="https://notes.saralupsc.com/the-commissioner-hindu-religious-endowments-madras-vs-sri-lakshmindra-thirtha-swamiar-of-sri-shirur-mutt-1954-summary-for-upsc-polity-notes/" TargetMode="External"/><Relationship Id="rId23" Type="http://schemas.openxmlformats.org/officeDocument/2006/relationships/hyperlink" Target="https://www.linkedin.com/pulse/commissioner-hindu-religious-endowments-madras-vs-thirtha-kulkarni" TargetMode="External"/><Relationship Id="rId28" Type="http://schemas.openxmlformats.org/officeDocument/2006/relationships/hyperlink" Target="https://lawfyi.io/the-commissioner-hindu-religious-endowments-madras-vs-sri-lakshmindra-thirtha-swamiar-of-sri-shirur-mutt-on-16-april-1954/" TargetMode="External"/><Relationship Id="rId36" Type="http://schemas.openxmlformats.org/officeDocument/2006/relationships/hyperlink" Target="https://www.linkedin.com/pulse/commissioner-hindu-religious-endowments-madras-vs-thirtha-kulkarni" TargetMode="External"/><Relationship Id="rId49" Type="http://schemas.openxmlformats.org/officeDocument/2006/relationships/hyperlink" Target="https://lawfoyer.in/the-commissioner-hindu-religious-endowments-madras-v-sri-lakshmindra-thirtha-swamiar-of-sri-shirur-mutt/" TargetMode="External"/><Relationship Id="rId10" Type="http://schemas.openxmlformats.org/officeDocument/2006/relationships/hyperlink" Target="https://lawfyi.io/the-commissioner-hindu-religious-endowments-madras-vs-sri-lakshmindra-thirtha-swamiar-of-sri-shirur-mutt-on-16-april-1954/" TargetMode="External"/><Relationship Id="rId19" Type="http://schemas.openxmlformats.org/officeDocument/2006/relationships/hyperlink" Target="https://notes.saralupsc.com/the-commissioner-hindu-religious-endowments-madras-vs-sri-lakshmindra-thirtha-swamiar-of-sri-shirur-mutt-1954-summary-for-upsc-polity-notes/" TargetMode="External"/><Relationship Id="rId31" Type="http://schemas.openxmlformats.org/officeDocument/2006/relationships/hyperlink" Target="https://lawbhoomi.com/shirur-mutt-case/" TargetMode="External"/><Relationship Id="rId44" Type="http://schemas.openxmlformats.org/officeDocument/2006/relationships/hyperlink" Target="https://www.linkedin.com/pulse/commissioner-hindu-religious-endowments-madras-vs-thirtha-kulkarni"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awbhoomi.com/shirur-mutt-case/" TargetMode="External"/><Relationship Id="rId14" Type="http://schemas.openxmlformats.org/officeDocument/2006/relationships/hyperlink" Target="https://www.linkedin.com/pulse/commissioner-hindu-religious-endowments-madras-vs-thirtha-kulkarni" TargetMode="External"/><Relationship Id="rId22" Type="http://schemas.openxmlformats.org/officeDocument/2006/relationships/hyperlink" Target="https://lawfoyer.in/the-commissioner-hindu-religious-endowments-madras-v-sri-lakshmindra-thirtha-swamiar-of-sri-shirur-mutt/" TargetMode="External"/><Relationship Id="rId27" Type="http://schemas.openxmlformats.org/officeDocument/2006/relationships/hyperlink" Target="https://lawbhoomi.com/shirur-mutt-case/" TargetMode="External"/><Relationship Id="rId30" Type="http://schemas.openxmlformats.org/officeDocument/2006/relationships/hyperlink" Target="https://notes.saralupsc.com/the-commissioner-hindu-religious-endowments-madras-vs-sri-lakshmindra-thirtha-swamiar-of-sri-shirur-mutt-1954-summary-for-upsc-polity-notes/" TargetMode="External"/><Relationship Id="rId35" Type="http://schemas.openxmlformats.org/officeDocument/2006/relationships/hyperlink" Target="https://lawfyi.io/the-commissioner-hindu-religious-endowments-madras-vs-sri-lakshmindra-thirtha-swamiar-of-sri-shirur-mutt-on-16-april-1954/" TargetMode="External"/><Relationship Id="rId43" Type="http://schemas.openxmlformats.org/officeDocument/2006/relationships/hyperlink" Target="https://lawfoyer.in/the-commissioner-hindu-religious-endowments-madras-v-sri-lakshmindra-thirtha-swamiar-of-sri-shirur-mutt/" TargetMode="External"/><Relationship Id="rId48" Type="http://schemas.openxmlformats.org/officeDocument/2006/relationships/hyperlink" Target="https://lawbhoomi.com/shirur-mutt-case/" TargetMode="External"/><Relationship Id="rId8" Type="http://schemas.openxmlformats.org/officeDocument/2006/relationships/hyperlink" Target="https://notes.saralupsc.com/the-commissioner-hindu-religious-endowments-madras-vs-sri-lakshmindra-thirtha-swamiar-of-sri-shirur-mutt-1954-summary-for-upsc-polity-notes/"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lawbhoomi.com/shirur-mutt-case/" TargetMode="External"/><Relationship Id="rId17" Type="http://schemas.openxmlformats.org/officeDocument/2006/relationships/hyperlink" Target="https://lawfyi.io/the-commissioner-hindu-religious-endowments-madras-vs-sri-lakshmindra-thirtha-swamiar-of-sri-shirur-mutt-on-16-april-1954/" TargetMode="External"/><Relationship Id="rId25" Type="http://schemas.openxmlformats.org/officeDocument/2006/relationships/hyperlink" Target="https://lawfyi.io/the-commissioner-hindu-religious-endowments-madras-vs-sri-lakshmindra-thirtha-swamiar-of-sri-shirur-mutt-on-16-april-1954/" TargetMode="External"/><Relationship Id="rId33" Type="http://schemas.openxmlformats.org/officeDocument/2006/relationships/hyperlink" Target="https://lawfoyer.in/the-commissioner-hindu-religious-endowments-madras-v-sri-lakshmindra-thirtha-swamiar-of-sri-shirur-mutt/" TargetMode="External"/><Relationship Id="rId38" Type="http://schemas.openxmlformats.org/officeDocument/2006/relationships/hyperlink" Target="https://lawfyi.io/the-commissioner-hindu-religious-endowments-madras-vs-sri-lakshmindra-thirtha-swamiar-of-sri-shirur-mutt-on-16-april-1954/" TargetMode="External"/><Relationship Id="rId46" Type="http://schemas.openxmlformats.org/officeDocument/2006/relationships/hyperlink" Target="https://lawfoyer.in/the-commissioner-hindu-religious-endowments-madras-v-sri-lakshmindra-thirtha-swamiar-of-sri-shirur-mutt/" TargetMode="External"/><Relationship Id="rId20" Type="http://schemas.openxmlformats.org/officeDocument/2006/relationships/hyperlink" Target="https://lawbhoomi.com/shirur-mutt-case/" TargetMode="External"/><Relationship Id="rId41" Type="http://schemas.openxmlformats.org/officeDocument/2006/relationships/hyperlink" Target="https://lawbhoomi.com/shirur-mutt-case/" TargetMode="External"/><Relationship Id="rId1" Type="http://schemas.openxmlformats.org/officeDocument/2006/relationships/numbering" Target="numbering.xml"/><Relationship Id="rId6" Type="http://schemas.openxmlformats.org/officeDocument/2006/relationships/hyperlink" Target="https://lawbhoomi.com/shirur-mutt-c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2283</Words>
  <Characters>13017</Characters>
  <Application>Microsoft Office Word</Application>
  <DocSecurity>0</DocSecurity>
  <Lines>108</Lines>
  <Paragraphs>30</Paragraphs>
  <ScaleCrop>false</ScaleCrop>
  <Company/>
  <LinksUpToDate>false</LinksUpToDate>
  <CharactersWithSpaces>15270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Rajkumar</dc:creator>
  <cp:keywords/>
  <dc:description/>
  <cp:lastModifiedBy>Deepak Rajkumar</cp:lastModifiedBy>
  <cp:revision>8</cp:revision>
  <cp:lastPrinted>2025-05-18T08:36:00Z</cp:lastPrinted>
  <dcterms:created xsi:type="dcterms:W3CDTF">2025-05-18T08:29:00Z</dcterms:created>
  <dcterms:modified xsi:type="dcterms:W3CDTF">2025-05-18T08:48:00Z</dcterms:modified>
</cp:coreProperties>
</file>