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0"/>
      </w:pPr>
      <w:r>
        <w:rPr>
          <w:b/>
          <w:bCs/>
          <w:sz w:val="32"/>
          <w:szCs w:val="32"/>
        </w:rPr>
        <w:t xml:space="preserve">A Compartmental ODE Model of Intracellular Drug Accumulation in Proximal Tubule Epithelial Cells: Development, Calibration, and Sensitivity Analysis</w:t>
      </w:r>
    </w:p>
    <w:p>
      <w:pPr>
        <w:spacing w:after="80" w:before="0"/>
      </w:pPr>
      <w:r>
        <w:rPr>
          <w:i/>
          <w:iCs/>
          <w:color w:val="555555"/>
          <w:sz w:val="22"/>
          <w:szCs w:val="22"/>
        </w:rPr>
        <w:t>Working document — Layer 1 model (v0.4 — Shipman PT trafficking rates)</w:t>
      </w:r>
    </w:p>
    <w:p>
      <w:pPr>
        <w:spacing w:after="320" w:before="0"/>
      </w:pPr>
      <w:r>
        <w:rPr>
          <w:color w:val="555555"/>
          <w:sz w:val="22"/>
          <w:szCs w:val="22"/>
        </w:rPr>
        <w:t>R. Barrows  ·  July 2026</w:t>
      </w:r>
    </w:p>
    <w:p>
      <w:pPr>
        <w:pBdr>
          <w:bottom w:val="single" w:color="CCCCCC" w:sz="6" w:space="4"/>
        </w:pBdr>
        <w:spacing w:after="160" w:before="160"/>
      </w:pPr>
    </w:p>
    <w:p>
      <w:pPr>
        <w:pStyle w:val="Heading1"/>
        <w:spacing w:after="120" w:before="360"/>
      </w:pPr>
      <w:r>
        <w:t xml:space="preserve">1. Introduction and motivation</w:t>
      </w:r>
    </w:p>
    <w:p>
      <w:pPr>
        <w:pStyle w:val="Heading2"/>
        <w:spacing w:after="80" w:before="280"/>
      </w:pPr>
      <w:r>
        <w:t xml:space="preserve">1.1  Context</w:t>
      </w:r>
    </w:p>
    <w:p>
      <w:pPr>
        <w:spacing w:after="160" w:before="0"/>
      </w:pPr>
      <w:r>
        <w:rPr>
          <w:sz w:val="22"/>
          <w:szCs w:val="22"/>
        </w:rPr>
        <w:t xml:space="preserve">Oligonucleotide (ON) therapeutics — including antisense oligonucleotides (ASOs) and small interfering RNAs (siRNAs) — are an expanding class of drugs that modulate gene expression by targeting specific RNA sequences. A significant safety liability for this drug class is nephrotoxicity, particularly injury to the proximal tubule (PT) of the kidney. PT cells are uniquely vulnerable because they express the megalin-cubilin receptor complex on their apical surface, which mediates receptor-mediated endocytosis (RME) of filtered macromolecules from the tubular lumen. Oligonucleotides — particularly those with phosphorothioate (PS) backbone modifications — are taken up via this pathway, trafficked through the endosomal system, and accumulate in lysosomes. Because PS modifications and 2’ sugar modifications (2’-MOE, LNA, cEt) confer resistance to lysosomal nucleases, ONs are degraded slowly and accumulate over time. When lysosomal drug load exceeds a threshold, it triggers a toxicity cascade: lysosomal dysfunction, lysosomal membrane permeabilisation (LMP), release of cathepsins and reactive oxygen species into the cytosol, and ultimately proximal tubule cell death (Jarzina et al. 2022).</w:t>
      </w:r>
    </w:p>
    <w:p>
      <w:pPr>
        <w:spacing w:after="160" w:before="0"/>
      </w:pPr>
      <w:r>
        <w:rPr>
          <w:sz w:val="22"/>
          <w:szCs w:val="22"/>
        </w:rPr>
        <w:t xml:space="preserve">This accumulation-driven mechanism (referred to by GSK as “exposure-driven tubular toxicity”) is one of three recognised mechanisms of ON-induced nephrotoxicity, alongside sequence-dependent (hybridisation-mediated) toxicity and immune/vascular-mediated toxicity. The work described here focuses exclusively on the accumulation-driven mechanism.</w:t>
      </w:r>
    </w:p>
    <w:p>
      <w:pPr>
        <w:pStyle w:val="Heading2"/>
        <w:spacing w:after="80" w:before="280"/>
      </w:pPr>
      <w:r>
        <w:t xml:space="preserve">1.2  The modelling gap</w:t>
      </w:r>
    </w:p>
    <w:p>
      <w:pPr>
        <w:spacing w:after="160" w:before="0"/>
      </w:pPr>
      <w:r>
        <w:rPr>
          <w:sz w:val="22"/>
          <w:szCs w:val="22"/>
        </w:rPr>
        <w:t xml:space="preserve">Quantitative modelling of ON nephrotoxicity has been approached from two scales, with a gap between them.</w:t>
      </w:r>
    </w:p>
    <w:p>
      <w:pPr>
        <w:spacing w:after="160" w:before="0"/>
      </w:pPr>
      <w:r>
        <w:rPr>
          <w:b/>
          <w:bCs/>
          <w:sz w:val="22"/>
          <w:szCs w:val="22"/>
        </w:rPr>
        <w:t xml:space="preserve">At the organ/whole-body scale</w:t>
      </w:r>
      <w:r>
        <w:rPr>
          <w:sz w:val="22"/>
          <w:szCs w:val="22"/>
        </w:rPr>
        <w:t xml:space="preserve">, physiologically based pharmacokinetic (PBPK) models describe how drug distributes from the systemic circulation to the kidney and reaches the proximal tubule (Hallow &amp; Gebremichael 2017; Bouchene et al. 2018). These models treat the proximal tubule cell as a single well-mixed compartment — drug enters the “PTC box” and its concentration rises, but the intracellular fate of the drug is not resolved. Separately, Gebremichael et al. (2018) developed a cell population model that tracks fractions of healthy, injured, and dead PT cells over time, linking injury to urinary biomarker predictions. However, the injury signal in this model is a simple fitted function of drug concentration, with no mechanistic representation of the intracellular process that causes injury.</w:t>
      </w:r>
    </w:p>
    <w:p>
      <w:pPr>
        <w:spacing w:after="160" w:before="0"/>
      </w:pPr>
      <w:r>
        <w:rPr>
          <w:b/>
          <w:bCs/>
          <w:sz w:val="22"/>
          <w:szCs w:val="22"/>
        </w:rPr>
        <w:t xml:space="preserve">At the cellular scale</w:t>
      </w:r>
      <w:r>
        <w:rPr>
          <w:sz w:val="22"/>
          <w:szCs w:val="22"/>
        </w:rPr>
        <w:t xml:space="preserve">, Jarzina et al. (2022) developed an Adverse Outcome Pathway (AOP) for PT injury initiated by RME and lysosomal overload, with in vitro assays for each key event. They established quantitative key event relationships (KERs) linking lysosomal dysfunction to lysosomal disruption to cell death. However, these KERs are empirical response-response curves fitted at a single time point (24h) — they are not mechanistic, have no time dimension, and cannot predict accumulation dynamics under different dosing regimens.</w:t>
      </w:r>
    </w:p>
    <w:p>
      <w:pPr>
        <w:spacing w:after="160" w:before="0"/>
      </w:pPr>
      <w:r>
        <w:rPr>
          <w:b/>
          <w:bCs/>
          <w:sz w:val="22"/>
          <w:szCs w:val="22"/>
        </w:rPr>
        <w:t>The missing layer is a mechanistic, time-resolved model of intracellular drug trafficking and lysosomal accumulation. No such model exists for any nephrotoxicant in PT cells. Compartmental ODE models of endosomal trafficking have been published for other contexts — notably EGFR receptor turnover in HEK293 cells (Hebchen et al. 2025) and LNP-siRNA delivery (Gilleron et al. 2013; Bartlett &amp; Davis 2007) — but none for drug accumulation in the PT endolysosomal system. The closest existing PT-specific model is Shipman et al. (2022), a five-compartment physiological model of megalin trafficking in opossum kidney (OK) and mouse proximal-tubule cells; however, it tracks the trafficking and recycling of the megalin receptor itself rather than the accumulation of a bound cargo or drug in the lysosome, and has no drug-degradation or lysosomal-overload component. It nonetheless provides directly measured PT-cell trafficking rate constants, which we adopt for the fixed maturation and fusion rates in v0.4 (Section 2.4).</w:t>
      </w:r>
      <w:r>
        <w:rPr>
          <w:sz w:val="22"/>
          <w:szCs w:val="22"/>
        </w:rPr>
      </w:r>
    </w:p>
    <w:p>
      <w:pPr>
        <w:spacing w:after="160" w:before="0"/>
      </w:pPr>
      <w:r>
        <w:rPr>
          <w:sz w:val="22"/>
          <w:szCs w:val="22"/>
        </w:rPr>
        <w:t xml:space="preserve">This paper describes the development and calibration of such a model as the first layer of a planned multi-scale platform for predicting oligonucleotide-induced nephrotoxicity.</w:t>
      </w:r>
    </w:p>
    <w:p>
      <w:pPr>
        <w:pStyle w:val="Heading2"/>
        <w:spacing w:after="80" w:before="280"/>
      </w:pPr>
      <w:r>
        <w:t xml:space="preserve">1.3  Planned multi-scale architecture</w:t>
      </w:r>
    </w:p>
    <w:p>
      <w:pPr>
        <w:spacing w:after="160" w:before="0"/>
      </w:pPr>
      <w:r>
        <w:rPr>
          <w:sz w:val="22"/>
          <w:szCs w:val="22"/>
        </w:rPr>
        <w:t xml:space="preserve">The intracellular accumulation model described here is designed to slot into a three-layer system:</w:t>
      </w:r>
    </w:p>
    <w:p>
      <w:pPr>
        <w:pStyle w:val="ListParagraph"/>
        <w:numPr>
          <w:ilvl w:val="0"/>
          <w:numId w:val="1"/>
        </w:numPr>
        <w:spacing w:after="40" w:before="40"/>
      </w:pPr>
      <w:r>
        <w:rPr>
          <w:b/>
          <w:bCs/>
          <w:sz w:val="22"/>
          <w:szCs w:val="22"/>
        </w:rPr>
        <w:t xml:space="preserve">Layer 1 (this work): </w:t>
      </w:r>
      <w:r>
        <w:rPr>
          <w:sz w:val="22"/>
          <w:szCs w:val="22"/>
        </w:rPr>
        <w:t xml:space="preserve">Intracellular accumulation dynamics within a single PT cell. Input: extracellular drug concentration. Output: lysosomal drug load over time.</w:t>
      </w:r>
    </w:p>
    <w:p>
      <w:pPr>
        <w:pStyle w:val="ListParagraph"/>
        <w:numPr>
          <w:ilvl w:val="0"/>
          <w:numId w:val="1"/>
        </w:numPr>
        <w:spacing w:after="40" w:before="40"/>
      </w:pPr>
      <w:r>
        <w:rPr>
          <w:b/>
          <w:bCs/>
          <w:sz w:val="22"/>
          <w:szCs w:val="22"/>
        </w:rPr>
        <w:t xml:space="preserve">Layer 2 (future): </w:t>
      </w:r>
      <w:r>
        <w:rPr>
          <w:sz w:val="22"/>
          <w:szCs w:val="22"/>
        </w:rPr>
        <w:t xml:space="preserve">Cell population dynamics — healthy/injured/dead cell fractions, based on Gebremichael et al. (2018). Input: lysosomal load from Layer 1 driving a cell injury rate. Output: biomarker predictions (KIM-1, serum creatinine).</w:t>
      </w:r>
    </w:p>
    <w:p>
      <w:pPr>
        <w:pStyle w:val="ListParagraph"/>
        <w:numPr>
          <w:ilvl w:val="0"/>
          <w:numId w:val="1"/>
        </w:numPr>
        <w:spacing w:after="40" w:before="40"/>
      </w:pPr>
      <w:r>
        <w:rPr>
          <w:b/>
          <w:bCs/>
          <w:sz w:val="22"/>
          <w:szCs w:val="22"/>
        </w:rPr>
        <w:t xml:space="preserve">Layer 3 (existing): </w:t>
      </w:r>
      <w:r>
        <w:rPr>
          <w:sz w:val="22"/>
          <w:szCs w:val="22"/>
        </w:rPr>
        <w:t xml:space="preserve">Whole-body PBPK based on Hallow &amp; Gebremichael (2017), already implemented. Input: dose and route. Output: extracellular drug concentration at the PT cell boundary, feeding into Layer 1.</w:t>
      </w:r>
    </w:p>
    <w:p>
      <w:pPr>
        <w:spacing w:after="80" w:before="0"/>
      </w:pPr>
    </w:p>
    <w:p>
      <w:pPr>
        <w:pBdr>
          <w:bottom w:val="single" w:color="CCCCCC" w:sz="6" w:space="4"/>
        </w:pBdr>
        <w:spacing w:after="160" w:before="160"/>
      </w:pPr>
    </w:p>
    <w:p>
      <w:pPr>
        <w:pStyle w:val="Heading1"/>
        <w:spacing w:after="120" w:before="360"/>
      </w:pPr>
      <w:r>
        <w:t xml:space="preserve">2. Methods</w:t>
      </w:r>
    </w:p>
    <w:p>
      <w:pPr>
        <w:pStyle w:val="Heading2"/>
        <w:spacing w:after="80" w:before="280"/>
      </w:pPr>
      <w:r>
        <w:t xml:space="preserve">2.1  Experimental data source</w:t>
      </w:r>
    </w:p>
    <w:p>
      <w:pPr>
        <w:spacing w:after="160" w:before="0"/>
      </w:pPr>
      <w:r>
        <w:rPr>
          <w:sz w:val="22"/>
          <w:szCs w:val="22"/>
        </w:rPr>
        <w:t xml:space="preserve">The model was calibrated against data from Jarzina et al. (2022), who measured time-dependent intracellular accumulation of polymyxin B in two proximal tubule cell lines using LC-MS/MS (liquid chromatography-tandem mass spectrometry).</w:t>
      </w:r>
    </w:p>
    <w:p>
      <w:pPr>
        <w:spacing w:after="160" w:before="0"/>
      </w:pPr>
      <w:r>
        <w:rPr>
          <w:b/>
          <w:bCs/>
          <w:sz w:val="22"/>
          <w:szCs w:val="22"/>
        </w:rPr>
        <w:t xml:space="preserve">Cell lines:</w:t>
      </w:r>
    </w:p>
    <w:p>
      <w:pPr>
        <w:pStyle w:val="ListParagraph"/>
        <w:numPr>
          <w:ilvl w:val="0"/>
          <w:numId w:val="1"/>
        </w:numPr>
        <w:spacing w:after="40" w:before="40"/>
      </w:pPr>
      <w:r>
        <w:rPr>
          <w:b/>
          <w:bCs/>
          <w:sz w:val="22"/>
          <w:szCs w:val="22"/>
        </w:rPr>
        <w:t xml:space="preserve">RPTEC/TERT1: </w:t>
      </w:r>
      <w:r>
        <w:rPr>
          <w:sz w:val="22"/>
          <w:szCs w:val="22"/>
        </w:rPr>
        <w:t xml:space="preserve">human PT cells immortalised by hTERT insertion, differentiated for 10–14 days prior to experiments. These cells form dome-like 3D structures and exhibit active endocytic machinery, though megalin expression is difficult to verify directly.</w:t>
      </w:r>
    </w:p>
    <w:p>
      <w:pPr>
        <w:pStyle w:val="ListParagraph"/>
        <w:numPr>
          <w:ilvl w:val="0"/>
          <w:numId w:val="1"/>
        </w:numPr>
        <w:spacing w:after="40" w:before="40"/>
      </w:pPr>
      <w:r>
        <w:rPr>
          <w:b/>
          <w:bCs/>
          <w:sz w:val="22"/>
          <w:szCs w:val="22"/>
        </w:rPr>
        <w:t xml:space="preserve">NRK-52E: </w:t>
      </w:r>
      <w:r>
        <w:rPr>
          <w:sz w:val="22"/>
          <w:szCs w:val="22"/>
        </w:rPr>
        <w:t xml:space="preserve">rat PT cells, a widely used nephrotoxicity model with lower endocytic activity than RPTEC/TERT1.</w:t>
      </w:r>
    </w:p>
    <w:p>
      <w:pPr>
        <w:spacing w:after="80" w:before="0"/>
      </w:pPr>
    </w:p>
    <w:p>
      <w:pPr>
        <w:spacing w:after="160" w:before="0"/>
      </w:pPr>
      <w:r>
        <w:rPr>
          <w:b/>
          <w:bCs/>
          <w:sz w:val="22"/>
          <w:szCs w:val="22"/>
        </w:rPr>
        <w:t xml:space="preserve">Experimental protocol:</w:t>
      </w:r>
      <w:r>
        <w:rPr>
          <w:sz w:val="22"/>
          <w:szCs w:val="22"/>
        </w:rPr>
        <w:t xml:space="preserve"> Cells were seeded in 12-well plates at 120,000 cells/well, grown to confluence, and exposed to 34 µM polymyxin B for 24 hours. At time points of approximately 1 min, 3.5h, 6.4h, and 24h, cells were harvested, lysed, and intracellular polymyxin B was quantified by LC-MS/MS. A recovery time point was taken 24 hours after drug removal (t = 47.5h from start). The limit of detection (LOD) was approximately 50 nM.</w:t>
      </w:r>
    </w:p>
    <w:p>
      <w:pPr>
        <w:spacing w:after="160" w:before="0"/>
      </w:pPr>
      <w:r>
        <w:rPr>
          <w:b/>
          <w:bCs/>
          <w:sz w:val="22"/>
          <w:szCs w:val="22"/>
        </w:rPr>
        <w:t xml:space="preserve">Data used for fitting:</w:t>
      </w:r>
    </w:p>
    <w:p>
      <w:pPr>
        <w:spacing w:after="160" w:before="0"/>
      </w:pPr>
      <w:r>
        <w:rPr>
          <w:i/>
          <w:iCs/>
          <w:sz w:val="22"/>
          <w:szCs w:val="22"/>
        </w:rPr>
        <w:t xml:space="preserve">RPTEC/TERT1 (with error bars digitised from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tblGrid>
      <w:tr>
        <w:trPr>
          <w:tblHeader/>
        </w:trPr>
        <w:tc>
          <w:tcPr>
            <w:tcW w:type="dxa" w:w="2340"/>
            <w:shd w:fill="D9E2F3" w:val="clear"/>
            <w:tcMar>
              <w:top w:type="dxa" w:w="60"/>
              <w:left w:type="dxa" w:w="100"/>
              <w:bottom w:type="dxa" w:w="60"/>
              <w:right w:type="dxa" w:w="100"/>
            </w:tcMar>
          </w:tcPr>
          <w:p>
            <w:pPr>
              <w:spacing w:after="40" w:before="40"/>
            </w:pPr>
            <w:r>
              <w:rPr>
                <w:b/>
                <w:bCs/>
                <w:sz w:val="20"/>
                <w:szCs w:val="20"/>
              </w:rPr>
              <w:t xml:space="preserve">Time (h)</w:t>
            </w:r>
          </w:p>
        </w:tc>
        <w:tc>
          <w:tcPr>
            <w:tcW w:type="dxa" w:w="2340"/>
            <w:shd w:fill="D9E2F3" w:val="clear"/>
            <w:tcMar>
              <w:top w:type="dxa" w:w="60"/>
              <w:left w:type="dxa" w:w="100"/>
              <w:bottom w:type="dxa" w:w="60"/>
              <w:right w:type="dxa" w:w="100"/>
            </w:tcMar>
          </w:tcPr>
          <w:p>
            <w:pPr>
              <w:spacing w:after="40" w:before="40"/>
            </w:pPr>
            <w:r>
              <w:rPr>
                <w:b/>
                <w:bCs/>
                <w:sz w:val="20"/>
                <w:szCs w:val="20"/>
              </w:rPr>
              <w:t xml:space="preserve">Central (nM)</w:t>
            </w:r>
          </w:p>
        </w:tc>
        <w:tc>
          <w:tcPr>
            <w:tcW w:type="dxa" w:w="2340"/>
            <w:shd w:fill="D9E2F3" w:val="clear"/>
            <w:tcMar>
              <w:top w:type="dxa" w:w="60"/>
              <w:left w:type="dxa" w:w="100"/>
              <w:bottom w:type="dxa" w:w="60"/>
              <w:right w:type="dxa" w:w="100"/>
            </w:tcMar>
          </w:tcPr>
          <w:p>
            <w:pPr>
              <w:spacing w:after="40" w:before="40"/>
            </w:pPr>
            <w:r>
              <w:rPr>
                <w:b/>
                <w:bCs/>
                <w:sz w:val="20"/>
                <w:szCs w:val="20"/>
              </w:rPr>
              <w:t xml:space="preserve">Lower bound (nM)</w:t>
            </w:r>
          </w:p>
        </w:tc>
        <w:tc>
          <w:tcPr>
            <w:tcW w:type="dxa" w:w="2340"/>
            <w:shd w:fill="D9E2F3" w:val="clear"/>
            <w:tcMar>
              <w:top w:type="dxa" w:w="60"/>
              <w:left w:type="dxa" w:w="100"/>
              <w:bottom w:type="dxa" w:w="60"/>
              <w:right w:type="dxa" w:w="100"/>
            </w:tcMar>
          </w:tcPr>
          <w:p>
            <w:pPr>
              <w:spacing w:after="40" w:before="40"/>
            </w:pPr>
            <w:r>
              <w:rPr>
                <w:b/>
                <w:bCs/>
                <w:sz w:val="20"/>
                <w:szCs w:val="20"/>
              </w:rPr>
              <w:t xml:space="preserve">Upper bound (nM)</w:t>
            </w:r>
          </w:p>
        </w:tc>
      </w:tr>
      <w:tr>
        <w:trPr>
          <w:tblHeader w:val="false"/>
        </w:trPr>
        <w:tc>
          <w:tcPr>
            <w:tcW w:type="dxa" w:w="2340"/>
            <w:tcMar>
              <w:top w:type="dxa" w:w="60"/>
              <w:left w:type="dxa" w:w="100"/>
              <w:bottom w:type="dxa" w:w="60"/>
              <w:right w:type="dxa" w:w="100"/>
            </w:tcMar>
          </w:tcPr>
          <w:p>
            <w:pPr>
              <w:spacing w:after="40" w:before="40"/>
            </w:pPr>
            <w:r>
              <w:rPr>
                <w:b w:val="false"/>
                <w:bCs w:val="false"/>
                <w:sz w:val="18"/>
                <w:szCs w:val="18"/>
              </w:rPr>
              <w:t xml:space="preserve">0</w:t>
            </w:r>
          </w:p>
        </w:tc>
        <w:tc>
          <w:tcPr>
            <w:tcW w:type="dxa" w:w="2340"/>
            <w:tcMar>
              <w:top w:type="dxa" w:w="60"/>
              <w:left w:type="dxa" w:w="100"/>
              <w:bottom w:type="dxa" w:w="60"/>
              <w:right w:type="dxa" w:w="100"/>
            </w:tcMar>
          </w:tcPr>
          <w:p>
            <w:pPr>
              <w:spacing w:after="40" w:before="40"/>
            </w:pPr>
            <w:r>
              <w:rPr>
                <w:b w:val="false"/>
                <w:bCs w:val="false"/>
                <w:sz w:val="18"/>
                <w:szCs w:val="18"/>
              </w:rPr>
              <w:t xml:space="preserve">0</w:t>
            </w:r>
          </w:p>
        </w:tc>
        <w:tc>
          <w:tcPr>
            <w:tcW w:type="dxa" w:w="2340"/>
            <w:tcMar>
              <w:top w:type="dxa" w:w="60"/>
              <w:left w:type="dxa" w:w="100"/>
              <w:bottom w:type="dxa" w:w="60"/>
              <w:right w:type="dxa" w:w="100"/>
            </w:tcMar>
          </w:tcPr>
          <w:p>
            <w:pPr>
              <w:spacing w:after="40" w:before="40"/>
            </w:pPr>
            <w:r>
              <w:rPr>
                <w:b w:val="false"/>
                <w:bCs w:val="false"/>
                <w:sz w:val="18"/>
                <w:szCs w:val="18"/>
              </w:rPr>
              <w:t xml:space="preserve">0</w:t>
            </w:r>
          </w:p>
        </w:tc>
        <w:tc>
          <w:tcPr>
            <w:tcW w:type="dxa" w:w="2340"/>
            <w:tcMar>
              <w:top w:type="dxa" w:w="60"/>
              <w:left w:type="dxa" w:w="100"/>
              <w:bottom w:type="dxa" w:w="60"/>
              <w:right w:type="dxa" w:w="100"/>
            </w:tcMar>
          </w:tcPr>
          <w:p>
            <w:pPr>
              <w:spacing w:after="40" w:before="40"/>
            </w:pPr>
            <w:r>
              <w:rPr>
                <w:b w:val="false"/>
                <w:bCs w:val="false"/>
                <w:sz w:val="18"/>
                <w:szCs w:val="18"/>
              </w:rPr>
              <w:t xml:space="preserve">0</w:t>
            </w:r>
          </w:p>
        </w:tc>
      </w:tr>
      <w:tr>
        <w:trPr>
          <w:tblHeader w:val="false"/>
        </w:trPr>
        <w:tc>
          <w:tcPr>
            <w:tcW w:type="dxa" w:w="2340"/>
            <w:tcMar>
              <w:top w:type="dxa" w:w="60"/>
              <w:left w:type="dxa" w:w="100"/>
              <w:bottom w:type="dxa" w:w="60"/>
              <w:right w:type="dxa" w:w="100"/>
            </w:tcMar>
          </w:tcPr>
          <w:p>
            <w:pPr>
              <w:spacing w:after="40" w:before="40"/>
            </w:pPr>
            <w:r>
              <w:rPr>
                <w:b w:val="false"/>
                <w:bCs w:val="false"/>
                <w:sz w:val="18"/>
                <w:szCs w:val="18"/>
              </w:rPr>
              <w:t xml:space="preserve">3.53</w:t>
            </w:r>
          </w:p>
        </w:tc>
        <w:tc>
          <w:tcPr>
            <w:tcW w:type="dxa" w:w="2340"/>
            <w:tcMar>
              <w:top w:type="dxa" w:w="60"/>
              <w:left w:type="dxa" w:w="100"/>
              <w:bottom w:type="dxa" w:w="60"/>
              <w:right w:type="dxa" w:w="100"/>
            </w:tcMar>
          </w:tcPr>
          <w:p>
            <w:pPr>
              <w:spacing w:after="40" w:before="40"/>
            </w:pPr>
            <w:r>
              <w:rPr>
                <w:b w:val="false"/>
                <w:bCs w:val="false"/>
                <w:sz w:val="18"/>
                <w:szCs w:val="18"/>
              </w:rPr>
              <w:t xml:space="preserve">636</w:t>
            </w:r>
          </w:p>
        </w:tc>
        <w:tc>
          <w:tcPr>
            <w:tcW w:type="dxa" w:w="2340"/>
            <w:tcMar>
              <w:top w:type="dxa" w:w="60"/>
              <w:left w:type="dxa" w:w="100"/>
              <w:bottom w:type="dxa" w:w="60"/>
              <w:right w:type="dxa" w:w="100"/>
            </w:tcMar>
          </w:tcPr>
          <w:p>
            <w:pPr>
              <w:spacing w:after="40" w:before="40"/>
            </w:pPr>
            <w:r>
              <w:rPr>
                <w:b w:val="false"/>
                <w:bCs w:val="false"/>
                <w:sz w:val="18"/>
                <w:szCs w:val="18"/>
              </w:rPr>
              <w:t xml:space="preserve">442</w:t>
            </w:r>
          </w:p>
        </w:tc>
        <w:tc>
          <w:tcPr>
            <w:tcW w:type="dxa" w:w="2340"/>
            <w:tcMar>
              <w:top w:type="dxa" w:w="60"/>
              <w:left w:type="dxa" w:w="100"/>
              <w:bottom w:type="dxa" w:w="60"/>
              <w:right w:type="dxa" w:w="100"/>
            </w:tcMar>
          </w:tcPr>
          <w:p>
            <w:pPr>
              <w:spacing w:after="40" w:before="40"/>
            </w:pPr>
            <w:r>
              <w:rPr>
                <w:b w:val="false"/>
                <w:bCs w:val="false"/>
                <w:sz w:val="18"/>
                <w:szCs w:val="18"/>
              </w:rPr>
              <w:t xml:space="preserve">883</w:t>
            </w:r>
          </w:p>
        </w:tc>
      </w:tr>
      <w:tr>
        <w:trPr>
          <w:tblHeader w:val="false"/>
        </w:trPr>
        <w:tc>
          <w:tcPr>
            <w:tcW w:type="dxa" w:w="2340"/>
            <w:tcMar>
              <w:top w:type="dxa" w:w="60"/>
              <w:left w:type="dxa" w:w="100"/>
              <w:bottom w:type="dxa" w:w="60"/>
              <w:right w:type="dxa" w:w="100"/>
            </w:tcMar>
          </w:tcPr>
          <w:p>
            <w:pPr>
              <w:spacing w:after="40" w:before="40"/>
            </w:pPr>
            <w:r>
              <w:rPr>
                <w:b w:val="false"/>
                <w:bCs w:val="false"/>
                <w:sz w:val="18"/>
                <w:szCs w:val="18"/>
              </w:rPr>
              <w:t xml:space="preserve">6.44</w:t>
            </w:r>
          </w:p>
        </w:tc>
        <w:tc>
          <w:tcPr>
            <w:tcW w:type="dxa" w:w="2340"/>
            <w:tcMar>
              <w:top w:type="dxa" w:w="60"/>
              <w:left w:type="dxa" w:w="100"/>
              <w:bottom w:type="dxa" w:w="60"/>
              <w:right w:type="dxa" w:w="100"/>
            </w:tcMar>
          </w:tcPr>
          <w:p>
            <w:pPr>
              <w:spacing w:after="40" w:before="40"/>
            </w:pPr>
            <w:r>
              <w:rPr>
                <w:b w:val="false"/>
                <w:bCs w:val="false"/>
                <w:sz w:val="18"/>
                <w:szCs w:val="18"/>
              </w:rPr>
              <w:t xml:space="preserve">1377</w:t>
            </w:r>
          </w:p>
        </w:tc>
        <w:tc>
          <w:tcPr>
            <w:tcW w:type="dxa" w:w="2340"/>
            <w:tcMar>
              <w:top w:type="dxa" w:w="60"/>
              <w:left w:type="dxa" w:w="100"/>
              <w:bottom w:type="dxa" w:w="60"/>
              <w:right w:type="dxa" w:w="100"/>
            </w:tcMar>
          </w:tcPr>
          <w:p>
            <w:pPr>
              <w:spacing w:after="40" w:before="40"/>
            </w:pPr>
            <w:r>
              <w:rPr>
                <w:b w:val="false"/>
                <w:bCs w:val="false"/>
                <w:sz w:val="18"/>
                <w:szCs w:val="18"/>
              </w:rPr>
              <w:t xml:space="preserve">870</w:t>
            </w:r>
          </w:p>
        </w:tc>
        <w:tc>
          <w:tcPr>
            <w:tcW w:type="dxa" w:w="2340"/>
            <w:tcMar>
              <w:top w:type="dxa" w:w="60"/>
              <w:left w:type="dxa" w:w="100"/>
              <w:bottom w:type="dxa" w:w="60"/>
              <w:right w:type="dxa" w:w="100"/>
            </w:tcMar>
          </w:tcPr>
          <w:p>
            <w:pPr>
              <w:spacing w:after="40" w:before="40"/>
            </w:pPr>
            <w:r>
              <w:rPr>
                <w:b w:val="false"/>
                <w:bCs w:val="false"/>
                <w:sz w:val="18"/>
                <w:szCs w:val="18"/>
              </w:rPr>
              <w:t xml:space="preserve">1909</w:t>
            </w:r>
          </w:p>
        </w:tc>
      </w:tr>
      <w:tr>
        <w:trPr>
          <w:tblHeader w:val="false"/>
        </w:trPr>
        <w:tc>
          <w:tcPr>
            <w:tcW w:type="dxa" w:w="2340"/>
            <w:tcMar>
              <w:top w:type="dxa" w:w="60"/>
              <w:left w:type="dxa" w:w="100"/>
              <w:bottom w:type="dxa" w:w="60"/>
              <w:right w:type="dxa" w:w="100"/>
            </w:tcMar>
          </w:tcPr>
          <w:p>
            <w:pPr>
              <w:spacing w:after="40" w:before="40"/>
            </w:pPr>
            <w:r>
              <w:rPr>
                <w:b w:val="false"/>
                <w:bCs w:val="false"/>
                <w:sz w:val="18"/>
                <w:szCs w:val="18"/>
              </w:rPr>
              <w:t xml:space="preserve">24.0</w:t>
            </w:r>
          </w:p>
        </w:tc>
        <w:tc>
          <w:tcPr>
            <w:tcW w:type="dxa" w:w="2340"/>
            <w:tcMar>
              <w:top w:type="dxa" w:w="60"/>
              <w:left w:type="dxa" w:w="100"/>
              <w:bottom w:type="dxa" w:w="60"/>
              <w:right w:type="dxa" w:w="100"/>
            </w:tcMar>
          </w:tcPr>
          <w:p>
            <w:pPr>
              <w:spacing w:after="40" w:before="40"/>
            </w:pPr>
            <w:r>
              <w:rPr>
                <w:b w:val="false"/>
                <w:bCs w:val="false"/>
                <w:sz w:val="18"/>
                <w:szCs w:val="18"/>
              </w:rPr>
              <w:t xml:space="preserve">3558</w:t>
            </w:r>
          </w:p>
        </w:tc>
        <w:tc>
          <w:tcPr>
            <w:tcW w:type="dxa" w:w="2340"/>
            <w:tcMar>
              <w:top w:type="dxa" w:w="60"/>
              <w:left w:type="dxa" w:w="100"/>
              <w:bottom w:type="dxa" w:w="60"/>
              <w:right w:type="dxa" w:w="100"/>
            </w:tcMar>
          </w:tcPr>
          <w:p>
            <w:pPr>
              <w:spacing w:after="40" w:before="40"/>
            </w:pPr>
            <w:r>
              <w:rPr>
                <w:b w:val="false"/>
                <w:bCs w:val="false"/>
                <w:sz w:val="18"/>
                <w:szCs w:val="18"/>
              </w:rPr>
              <w:t xml:space="preserve">1974</w:t>
            </w:r>
          </w:p>
        </w:tc>
        <w:tc>
          <w:tcPr>
            <w:tcW w:type="dxa" w:w="2340"/>
            <w:tcMar>
              <w:top w:type="dxa" w:w="60"/>
              <w:left w:type="dxa" w:w="100"/>
              <w:bottom w:type="dxa" w:w="60"/>
              <w:right w:type="dxa" w:w="100"/>
            </w:tcMar>
          </w:tcPr>
          <w:p>
            <w:pPr>
              <w:spacing w:after="40" w:before="40"/>
            </w:pPr>
            <w:r>
              <w:rPr>
                <w:b w:val="false"/>
                <w:bCs w:val="false"/>
                <w:sz w:val="18"/>
                <w:szCs w:val="18"/>
              </w:rPr>
              <w:t xml:space="preserve">5156</w:t>
            </w:r>
          </w:p>
        </w:tc>
      </w:tr>
      <w:tr>
        <w:trPr>
          <w:tblHeader w:val="false"/>
        </w:trPr>
        <w:tc>
          <w:tcPr>
            <w:tcW w:type="dxa" w:w="2340"/>
            <w:tcMar>
              <w:top w:type="dxa" w:w="60"/>
              <w:left w:type="dxa" w:w="100"/>
              <w:bottom w:type="dxa" w:w="60"/>
              <w:right w:type="dxa" w:w="100"/>
            </w:tcMar>
          </w:tcPr>
          <w:p>
            <w:pPr>
              <w:spacing w:after="40" w:before="40"/>
            </w:pPr>
            <w:r>
              <w:rPr>
                <w:b w:val="false"/>
                <w:bCs w:val="false"/>
                <w:sz w:val="18"/>
                <w:szCs w:val="18"/>
              </w:rPr>
              <w:t xml:space="preserve">47.46</w:t>
            </w:r>
          </w:p>
        </w:tc>
        <w:tc>
          <w:tcPr>
            <w:tcW w:type="dxa" w:w="2340"/>
            <w:tcMar>
              <w:top w:type="dxa" w:w="60"/>
              <w:left w:type="dxa" w:w="100"/>
              <w:bottom w:type="dxa" w:w="60"/>
              <w:right w:type="dxa" w:w="100"/>
            </w:tcMar>
          </w:tcPr>
          <w:p>
            <w:pPr>
              <w:spacing w:after="40" w:before="40"/>
            </w:pPr>
            <w:r>
              <w:rPr>
                <w:b w:val="false"/>
                <w:bCs w:val="false"/>
                <w:sz w:val="18"/>
                <w:szCs w:val="18"/>
              </w:rPr>
              <w:t xml:space="preserve">2792</w:t>
            </w:r>
          </w:p>
        </w:tc>
        <w:tc>
          <w:tcPr>
            <w:tcW w:type="dxa" w:w="2340"/>
            <w:tcMar>
              <w:top w:type="dxa" w:w="60"/>
              <w:left w:type="dxa" w:w="100"/>
              <w:bottom w:type="dxa" w:w="60"/>
              <w:right w:type="dxa" w:w="100"/>
            </w:tcMar>
          </w:tcPr>
          <w:p>
            <w:pPr>
              <w:spacing w:after="40" w:before="40"/>
            </w:pPr>
            <w:r>
              <w:rPr>
                <w:b w:val="false"/>
                <w:bCs w:val="false"/>
                <w:sz w:val="18"/>
                <w:szCs w:val="18"/>
              </w:rPr>
              <w:t xml:space="preserve">1494</w:t>
            </w:r>
          </w:p>
        </w:tc>
        <w:tc>
          <w:tcPr>
            <w:tcW w:type="dxa" w:w="2340"/>
            <w:tcMar>
              <w:top w:type="dxa" w:w="60"/>
              <w:left w:type="dxa" w:w="100"/>
              <w:bottom w:type="dxa" w:w="60"/>
              <w:right w:type="dxa" w:w="100"/>
            </w:tcMar>
          </w:tcPr>
          <w:p>
            <w:pPr>
              <w:spacing w:after="40" w:before="40"/>
            </w:pPr>
            <w:r>
              <w:rPr>
                <w:b w:val="false"/>
                <w:bCs w:val="false"/>
                <w:sz w:val="18"/>
                <w:szCs w:val="18"/>
              </w:rPr>
              <w:t xml:space="preserve">4065</w:t>
            </w:r>
          </w:p>
        </w:tc>
      </w:tr>
    </w:tbl>
    <w:p>
      <w:pPr>
        <w:spacing w:after="80" w:before="0"/>
      </w:pPr>
    </w:p>
    <w:p>
      <w:pPr>
        <w:spacing w:after="160" w:before="0"/>
      </w:pPr>
      <w:r>
        <w:rPr>
          <w:i/>
          <w:iCs/>
          <w:sz w:val="22"/>
          <w:szCs w:val="22"/>
        </w:rPr>
        <w:t xml:space="preserve">NRK-52E (no error bars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dxa" w:w="4680"/>
            <w:shd w:fill="D9E2F3" w:val="clear"/>
            <w:tcMar>
              <w:top w:type="dxa" w:w="60"/>
              <w:left w:type="dxa" w:w="100"/>
              <w:bottom w:type="dxa" w:w="60"/>
              <w:right w:type="dxa" w:w="100"/>
            </w:tcMar>
          </w:tcPr>
          <w:p>
            <w:pPr>
              <w:spacing w:after="40" w:before="40"/>
            </w:pPr>
            <w:r>
              <w:rPr>
                <w:b/>
                <w:bCs/>
                <w:sz w:val="20"/>
                <w:szCs w:val="20"/>
              </w:rPr>
              <w:t xml:space="preserve">Time (h)</w:t>
            </w:r>
          </w:p>
        </w:tc>
        <w:tc>
          <w:tcPr>
            <w:tcW w:type="dxa" w:w="4680"/>
            <w:shd w:fill="D9E2F3" w:val="clear"/>
            <w:tcMar>
              <w:top w:type="dxa" w:w="60"/>
              <w:left w:type="dxa" w:w="100"/>
              <w:bottom w:type="dxa" w:w="60"/>
              <w:right w:type="dxa" w:w="100"/>
            </w:tcMar>
          </w:tcPr>
          <w:p>
            <w:pPr>
              <w:spacing w:after="40" w:before="40"/>
            </w:pPr>
            <w:r>
              <w:rPr>
                <w:b/>
                <w:bCs/>
                <w:sz w:val="20"/>
                <w:szCs w:val="20"/>
              </w:rPr>
              <w:t xml:space="preserve">Central (nM)</w:t>
            </w:r>
          </w:p>
        </w:tc>
      </w:tr>
      <w:tr>
        <w:trPr>
          <w:tblHeader w:val="false"/>
        </w:trPr>
        <w:tc>
          <w:tcPr>
            <w:tcW w:type="dxa" w:w="4680"/>
            <w:tcMar>
              <w:top w:type="dxa" w:w="60"/>
              <w:left w:type="dxa" w:w="100"/>
              <w:bottom w:type="dxa" w:w="60"/>
              <w:right w:type="dxa" w:w="100"/>
            </w:tcMar>
          </w:tcPr>
          <w:p>
            <w:pPr>
              <w:spacing w:after="40" w:before="40"/>
            </w:pPr>
            <w:r>
              <w:rPr>
                <w:b w:val="false"/>
                <w:bCs w:val="false"/>
                <w:sz w:val="18"/>
                <w:szCs w:val="18"/>
              </w:rPr>
              <w:t xml:space="preserve">0</w:t>
            </w:r>
          </w:p>
        </w:tc>
        <w:tc>
          <w:tcPr>
            <w:tcW w:type="dxa" w:w="4680"/>
            <w:tcMar>
              <w:top w:type="dxa" w:w="60"/>
              <w:left w:type="dxa" w:w="100"/>
              <w:bottom w:type="dxa" w:w="60"/>
              <w:right w:type="dxa" w:w="100"/>
            </w:tcMar>
          </w:tcPr>
          <w:p>
            <w:pPr>
              <w:spacing w:after="40" w:before="40"/>
            </w:pPr>
            <w:r>
              <w:rPr>
                <w:b w:val="false"/>
                <w:bCs w:val="false"/>
                <w:sz w:val="18"/>
                <w:szCs w:val="18"/>
              </w:rPr>
              <w:t xml:space="preserve">0</w:t>
            </w:r>
          </w:p>
        </w:tc>
      </w:tr>
      <w:tr>
        <w:trPr>
          <w:tblHeader w:val="false"/>
        </w:trPr>
        <w:tc>
          <w:tcPr>
            <w:tcW w:type="dxa" w:w="4680"/>
            <w:tcMar>
              <w:top w:type="dxa" w:w="60"/>
              <w:left w:type="dxa" w:w="100"/>
              <w:bottom w:type="dxa" w:w="60"/>
              <w:right w:type="dxa" w:w="100"/>
            </w:tcMar>
          </w:tcPr>
          <w:p>
            <w:pPr>
              <w:spacing w:after="40" w:before="40"/>
            </w:pPr>
            <w:r>
              <w:rPr>
                <w:b w:val="false"/>
                <w:bCs w:val="false"/>
                <w:sz w:val="18"/>
                <w:szCs w:val="18"/>
              </w:rPr>
              <w:t xml:space="preserve">3.53</w:t>
            </w:r>
          </w:p>
        </w:tc>
        <w:tc>
          <w:tcPr>
            <w:tcW w:type="dxa" w:w="4680"/>
            <w:tcMar>
              <w:top w:type="dxa" w:w="60"/>
              <w:left w:type="dxa" w:w="100"/>
              <w:bottom w:type="dxa" w:w="60"/>
              <w:right w:type="dxa" w:w="100"/>
            </w:tcMar>
          </w:tcPr>
          <w:p>
            <w:pPr>
              <w:spacing w:after="40" w:before="40"/>
            </w:pPr>
            <w:r>
              <w:rPr>
                <w:b w:val="false"/>
                <w:bCs w:val="false"/>
                <w:sz w:val="18"/>
                <w:szCs w:val="18"/>
              </w:rPr>
              <w:t xml:space="preserve">299</w:t>
            </w:r>
          </w:p>
        </w:tc>
      </w:tr>
      <w:tr>
        <w:trPr>
          <w:tblHeader w:val="false"/>
        </w:trPr>
        <w:tc>
          <w:tcPr>
            <w:tcW w:type="dxa" w:w="4680"/>
            <w:tcMar>
              <w:top w:type="dxa" w:w="60"/>
              <w:left w:type="dxa" w:w="100"/>
              <w:bottom w:type="dxa" w:w="60"/>
              <w:right w:type="dxa" w:w="100"/>
            </w:tcMar>
          </w:tcPr>
          <w:p>
            <w:pPr>
              <w:spacing w:after="40" w:before="40"/>
            </w:pPr>
            <w:r>
              <w:rPr>
                <w:b w:val="false"/>
                <w:bCs w:val="false"/>
                <w:sz w:val="18"/>
                <w:szCs w:val="18"/>
              </w:rPr>
              <w:t xml:space="preserve">6.44</w:t>
            </w:r>
          </w:p>
        </w:tc>
        <w:tc>
          <w:tcPr>
            <w:tcW w:type="dxa" w:w="4680"/>
            <w:tcMar>
              <w:top w:type="dxa" w:w="60"/>
              <w:left w:type="dxa" w:w="100"/>
              <w:bottom w:type="dxa" w:w="60"/>
              <w:right w:type="dxa" w:w="100"/>
            </w:tcMar>
          </w:tcPr>
          <w:p>
            <w:pPr>
              <w:spacing w:after="40" w:before="40"/>
            </w:pPr>
            <w:r>
              <w:rPr>
                <w:b w:val="false"/>
                <w:bCs w:val="false"/>
                <w:sz w:val="18"/>
                <w:szCs w:val="18"/>
              </w:rPr>
              <w:t xml:space="preserve">662</w:t>
            </w:r>
          </w:p>
        </w:tc>
      </w:tr>
      <w:tr>
        <w:trPr>
          <w:tblHeader w:val="false"/>
        </w:trPr>
        <w:tc>
          <w:tcPr>
            <w:tcW w:type="dxa" w:w="4680"/>
            <w:tcMar>
              <w:top w:type="dxa" w:w="60"/>
              <w:left w:type="dxa" w:w="100"/>
              <w:bottom w:type="dxa" w:w="60"/>
              <w:right w:type="dxa" w:w="100"/>
            </w:tcMar>
          </w:tcPr>
          <w:p>
            <w:pPr>
              <w:spacing w:after="40" w:before="40"/>
            </w:pPr>
            <w:r>
              <w:rPr>
                <w:b w:val="false"/>
                <w:bCs w:val="false"/>
                <w:sz w:val="18"/>
                <w:szCs w:val="18"/>
              </w:rPr>
              <w:t xml:space="preserve">24.0</w:t>
            </w:r>
          </w:p>
        </w:tc>
        <w:tc>
          <w:tcPr>
            <w:tcW w:type="dxa" w:w="4680"/>
            <w:tcMar>
              <w:top w:type="dxa" w:w="60"/>
              <w:left w:type="dxa" w:w="100"/>
              <w:bottom w:type="dxa" w:w="60"/>
              <w:right w:type="dxa" w:w="100"/>
            </w:tcMar>
          </w:tcPr>
          <w:p>
            <w:pPr>
              <w:spacing w:after="40" w:before="40"/>
            </w:pPr>
            <w:r>
              <w:rPr>
                <w:b w:val="false"/>
                <w:bCs w:val="false"/>
                <w:sz w:val="18"/>
                <w:szCs w:val="18"/>
              </w:rPr>
              <w:t xml:space="preserve">831</w:t>
            </w:r>
          </w:p>
        </w:tc>
      </w:tr>
      <w:tr>
        <w:trPr>
          <w:tblHeader w:val="false"/>
        </w:trPr>
        <w:tc>
          <w:tcPr>
            <w:tcW w:type="dxa" w:w="4680"/>
            <w:tcMar>
              <w:top w:type="dxa" w:w="60"/>
              <w:left w:type="dxa" w:w="100"/>
              <w:bottom w:type="dxa" w:w="60"/>
              <w:right w:type="dxa" w:w="100"/>
            </w:tcMar>
          </w:tcPr>
          <w:p>
            <w:pPr>
              <w:spacing w:after="40" w:before="40"/>
            </w:pPr>
            <w:r>
              <w:rPr>
                <w:b w:val="false"/>
                <w:bCs w:val="false"/>
                <w:sz w:val="18"/>
                <w:szCs w:val="18"/>
              </w:rPr>
              <w:t xml:space="preserve">47.46</w:t>
            </w:r>
          </w:p>
        </w:tc>
        <w:tc>
          <w:tcPr>
            <w:tcW w:type="dxa" w:w="4680"/>
            <w:tcMar>
              <w:top w:type="dxa" w:w="60"/>
              <w:left w:type="dxa" w:w="100"/>
              <w:bottom w:type="dxa" w:w="60"/>
              <w:right w:type="dxa" w:w="100"/>
            </w:tcMar>
          </w:tcPr>
          <w:p>
            <w:pPr>
              <w:spacing w:after="40" w:before="40"/>
            </w:pPr>
            <w:r>
              <w:rPr>
                <w:b w:val="false"/>
                <w:bCs w:val="false"/>
                <w:sz w:val="18"/>
                <w:szCs w:val="18"/>
              </w:rPr>
              <w:t xml:space="preserve">104</w:t>
            </w:r>
          </w:p>
        </w:tc>
      </w:tr>
    </w:tbl>
    <w:p>
      <w:pPr>
        <w:spacing w:after="80" w:before="0"/>
      </w:pPr>
    </w:p>
    <w:p>
      <w:pPr>
        <w:spacing w:after="160" w:before="0"/>
      </w:pPr>
      <w:r>
        <w:rPr>
          <w:sz w:val="22"/>
          <w:szCs w:val="22"/>
        </w:rPr>
        <w:t xml:space="preserve">Cell volumes were calculated from measured diameters of trypsinised (rounded) cells assuming spherical geometry: RPTEC/TERT1 ≈ 1.99 × 10</w:t>
      </w:r>
      <w:r>
        <w:rPr>
          <w:sz w:val="20"/>
          <w:szCs w:val="20"/>
          <w:vertAlign w:val="superscript"/>
        </w:rPr>
        <w:t xml:space="preserve">−12</w:t>
      </w:r>
      <w:r>
        <w:rPr>
          <w:sz w:val="22"/>
          <w:szCs w:val="22"/>
        </w:rPr>
        <w:t xml:space="preserve"> L; NRK-52E ≈ 1.21 × 10</w:t>
      </w:r>
      <w:r>
        <w:rPr>
          <w:sz w:val="20"/>
          <w:szCs w:val="20"/>
          <w:vertAlign w:val="superscript"/>
        </w:rPr>
        <w:t xml:space="preserve">−12</w:t>
      </w:r>
      <w:r>
        <w:rPr>
          <w:sz w:val="22"/>
          <w:szCs w:val="22"/>
        </w:rPr>
        <w:t xml:space="preserve"> L (Jarzina et al. 2022). The 1-minute time points (~50 nM for all conditions) were excluded from fitting as they coincide with the LOD and likely reflect the detection floor rather than true intracellular accumulation.</w:t>
      </w:r>
    </w:p>
    <w:p>
      <w:pPr>
        <w:pStyle w:val="Heading2"/>
        <w:spacing w:after="80" w:before="280"/>
      </w:pPr>
      <w:r>
        <w:t xml:space="preserve">2.2  Model structure</w:t>
      </w:r>
    </w:p>
    <w:p>
      <w:pPr>
        <w:spacing w:after="160" w:before="0"/>
      </w:pPr>
      <w:r>
        <w:rPr>
          <w:sz w:val="22"/>
          <w:szCs w:val="22"/>
        </w:rPr>
        <w:t xml:space="preserve">The model tracks drug in three intracellular compartments representing the major stages of the endolysosomal trafficking pathway:</w:t>
      </w:r>
    </w:p>
    <w:p>
      <w:pPr>
        <w:spacing w:after="160" w:before="0"/>
      </w:pPr>
      <w:r>
        <w:rPr>
          <w:b/>
          <w:bCs/>
          <w:sz w:val="22"/>
          <w:szCs w:val="22"/>
        </w:rPr>
        <w:t xml:space="preserve">Early endosome (EE):</w:t>
      </w:r>
      <w:r>
        <w:rPr>
          <w:sz w:val="22"/>
          <w:szCs w:val="22"/>
        </w:rPr>
        <w:t xml:space="preserve"> Drug enters this compartment from the extracellular space via megalin-mediated receptor-mediated endocytosis. Uptake is modelled as a saturable (Michaelis-Menten) process reflecting the finite number of megalin receptors on the cell surface (Janssen et al. 2019; Lauffenburger &amp; Linderman 1993). Drug leaves the EE via two routes: maturation to late endosomes (the dominant forward pathway) and recycling back to the cell surface (whereby the megalin receptor returns to the apical membrane).</w:t>
      </w:r>
    </w:p>
    <w:p>
      <w:pPr>
        <w:spacing w:after="160" w:before="0"/>
      </w:pPr>
      <w:r>
        <w:rPr>
          <w:b/>
          <w:bCs/>
          <w:sz w:val="22"/>
          <w:szCs w:val="22"/>
        </w:rPr>
        <w:t>Late endosome (LE) / multivesicular body (MVB): Drug arrives from EE maturation. Drug leaves via fusion with lysosomes (the dominant route) and a small escape flux to the cytosol (the “productive” pathway for ON pharmacology, involving back-fusion of intraluminal vesicles with the LE limiting membrane; Juliano 2018; Gilleron et al. 2013). The cytosolic escape route accounts for approximately 1–2% of drug (Gilleron et al. 2013) and is included for completeness but is negligible for the accumulation/toxicity model. Note that the model deliberately gives cargo (drug) no recycling route out of the LE, even though the megalin receptor recycles heavily from this compartment (Shipman et al. 2022): cargo and receptor dissociate in the acidifying late endosome, so free drug is committed to the lysosome. The maturation and fusion rate constants (k_mat, k_fuse) are taken from Shipman et al.’s PT-cell megalin trafficking model (Section 2.4).</w:t>
      </w:r>
      <w:r>
        <w:rPr>
          <w:sz w:val="22"/>
          <w:szCs w:val="22"/>
        </w:rPr>
      </w:r>
    </w:p>
    <w:p>
      <w:pPr>
        <w:spacing w:after="160" w:before="0"/>
      </w:pPr>
      <w:r>
        <w:rPr>
          <w:b/>
          <w:bCs/>
          <w:sz w:val="22"/>
          <w:szCs w:val="22"/>
        </w:rPr>
        <w:t xml:space="preserve">Lysosome (LY):</w:t>
      </w:r>
      <w:r>
        <w:rPr>
          <w:sz w:val="22"/>
          <w:szCs w:val="22"/>
        </w:rPr>
        <w:t xml:space="preserve"> Drug arrives from LE-lysosome fusion and is degraded by lysosomal enzymes at a rate determined by the drug’s chemical stability. For polymyxin B and for PS-modified ONs, degradation is slow relative to the influx rate, leading to progressive accumulation. This compartment is the mechanistic driver of the Jarzina AOP: when lysosomal drug load exceeds a threshold, the toxicity cascade is initiated.</w:t>
      </w:r>
    </w:p>
    <w:p>
      <w:pPr>
        <w:pStyle w:val="Heading2"/>
        <w:spacing w:after="80" w:before="280"/>
      </w:pPr>
      <w:r>
        <w:t xml:space="preserve">2.3  Governing equations</w:t>
      </w:r>
    </w:p>
    <w:p>
      <w:pPr>
        <w:spacing w:after="160" w:before="0"/>
      </w:pPr>
      <w:r>
        <w:rPr>
          <w:b/>
          <w:bCs/>
          <w:sz w:val="22"/>
          <w:szCs w:val="22"/>
        </w:rPr>
        <w:t xml:space="preserve">State variables:</w:t>
      </w:r>
      <w:r>
        <w:rPr>
          <w:sz w:val="22"/>
          <w:szCs w:val="22"/>
        </w:rPr>
        <w:t xml:space="preserve"> C_ee, C_le, C_ly (drug amount per cell, fmol/cell). C_ext (extracellular concentration, µM) is treated as constant during exposure and zero during washout.</w:t>
      </w:r>
    </w:p>
    <w:p>
      <w:pPr>
        <w:pBdr>
          <w:left w:val="single" w:color="AAAAAA" w:sz="6" w:space="6"/>
        </w:pBdr>
        <w:spacing w:after="20" w:before="20"/>
        <w:ind w:left="576"/>
      </w:pPr>
      <w:r>
        <w:rPr>
          <w:rFonts w:ascii="Courier New" w:cs="Courier New" w:eastAsia="Courier New" w:hAnsi="Courier New"/>
          <w:sz w:val="20"/>
          <w:szCs w:val="20"/>
        </w:rPr>
        <w:t xml:space="preserve">dC_ee/dt = V_max · C_ext / (K_m + C_ext)  −  (k_mat + k_rec) · C_ee</w:t>
      </w:r>
    </w:p>
    <w:p>
      <w:pPr>
        <w:pBdr>
          <w:left w:val="single" w:color="AAAAAA" w:sz="6" w:space="6"/>
        </w:pBdr>
        <w:spacing w:after="20" w:before="20"/>
        <w:ind w:left="576"/>
      </w:pPr>
      <w:r>
        <w:rPr>
          <w:rFonts w:ascii="Courier New" w:cs="Courier New" w:eastAsia="Courier New" w:hAnsi="Courier New"/>
          <w:sz w:val="20"/>
          <w:szCs w:val="20"/>
        </w:rPr>
        <w:t xml:space="preserve"/>
      </w:r>
    </w:p>
    <w:p>
      <w:pPr>
        <w:pBdr>
          <w:left w:val="single" w:color="AAAAAA" w:sz="6" w:space="6"/>
        </w:pBdr>
        <w:spacing w:after="20" w:before="20"/>
        <w:ind w:left="576"/>
      </w:pPr>
      <w:r>
        <w:rPr>
          <w:rFonts w:ascii="Courier New" w:cs="Courier New" w:eastAsia="Courier New" w:hAnsi="Courier New"/>
          <w:sz w:val="20"/>
          <w:szCs w:val="20"/>
        </w:rPr>
        <w:t xml:space="preserve">dC_le/dt = k_mat · C_ee  −  (k_fuse + k_esc) · C_le</w:t>
      </w:r>
    </w:p>
    <w:p>
      <w:pPr>
        <w:pBdr>
          <w:left w:val="single" w:color="AAAAAA" w:sz="6" w:space="6"/>
        </w:pBdr>
        <w:spacing w:after="20" w:before="20"/>
        <w:ind w:left="576"/>
      </w:pPr>
      <w:r>
        <w:rPr>
          <w:rFonts w:ascii="Courier New" w:cs="Courier New" w:eastAsia="Courier New" w:hAnsi="Courier New"/>
          <w:sz w:val="20"/>
          <w:szCs w:val="20"/>
        </w:rPr>
        <w:t xml:space="preserve"/>
      </w:r>
    </w:p>
    <w:p>
      <w:pPr>
        <w:pBdr>
          <w:left w:val="single" w:color="AAAAAA" w:sz="6" w:space="6"/>
        </w:pBdr>
        <w:spacing w:after="20" w:before="20"/>
        <w:ind w:left="576"/>
      </w:pPr>
      <w:r>
        <w:rPr>
          <w:rFonts w:ascii="Courier New" w:cs="Courier New" w:eastAsia="Courier New" w:hAnsi="Courier New"/>
          <w:sz w:val="20"/>
          <w:szCs w:val="20"/>
        </w:rPr>
        <w:t xml:space="preserve">dC_ly/dt = k_fuse · C_le  −  k_deg · C_ly</w:t>
      </w:r>
    </w:p>
    <w:p>
      <w:pPr>
        <w:spacing w:after="80" w:before="0"/>
      </w:pPr>
    </w:p>
    <w:p>
      <w:pPr>
        <w:spacing w:after="160" w:before="0"/>
      </w:pPr>
      <w:r>
        <w:rPr>
          <w:b/>
          <w:bCs/>
          <w:sz w:val="22"/>
          <w:szCs w:val="22"/>
        </w:rPr>
        <w:t xml:space="preserve">Model observable:</w:t>
      </w:r>
      <w:r>
        <w:rPr>
          <w:sz w:val="22"/>
          <w:szCs w:val="22"/>
        </w:rPr>
        <w:t xml:space="preserve"> Total intracellular concentration (nM) = (C_ee + C_le + C_ly) / V_cell × 10</w:t>
      </w:r>
      <w:r>
        <w:rPr>
          <w:sz w:val="20"/>
          <w:szCs w:val="20"/>
          <w:vertAlign w:val="superscript"/>
        </w:rPr>
        <w:t xml:space="preserve">−6</w:t>
      </w:r>
      <w:r>
        <w:rPr>
          <w:sz w:val="22"/>
          <w:szCs w:val="22"/>
        </w:rPr>
        <w:t xml:space="preserve">, where V_cell is in litres. This corresponds to the LC-MS/MS measurement, which quantifies total drug in the cell lysate without distinguishing sub-cellular compartments.</w:t>
      </w:r>
    </w:p>
    <w:p>
      <w:pPr>
        <w:pStyle w:val="Heading2"/>
        <w:spacing w:after="80" w:before="280"/>
      </w:pPr>
      <w:r>
        <w:t xml:space="preserve">2.4  Parameters</w:t>
      </w:r>
    </w:p>
    <w:p>
      <w:pPr>
        <w:spacing w:after="160" w:before="0"/>
      </w:pPr>
      <w:r>
        <w:rPr>
          <w:sz w:val="22"/>
          <w:szCs w:val="22"/>
        </w:rPr>
        <w:t xml:space="preserve">Parameters are divided into two categories based on whether they are properties of the cell (unchanged between drug chemistries) or properties of the drug (chemistry-dependent).</w:t>
      </w:r>
    </w:p>
    <w:p>
      <w:pPr>
        <w:spacing w:after="160" w:before="0"/>
      </w:pPr>
      <w:r>
        <w:rPr>
          <w:b/>
          <w:bCs/>
          <w:sz w:val="22"/>
          <w:szCs w:val="22"/>
        </w:rPr>
        <w:t xml:space="preserve">Cell-specific parameters (fixed from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gridCol w:w="100"/>
      </w:tblGrid>
      <w:tr>
        <w:trPr>
          <w:tblHeader/>
        </w:trPr>
        <w:tc>
          <w:tcPr>
            <w:tcW w:type="dxa" w:w="1872"/>
            <w:shd w:fill="D9E2F3" w:val="clear"/>
            <w:tcMar>
              <w:top w:type="dxa" w:w="60"/>
              <w:left w:type="dxa" w:w="100"/>
              <w:bottom w:type="dxa" w:w="60"/>
              <w:right w:type="dxa" w:w="100"/>
            </w:tcMar>
          </w:tcPr>
          <w:p>
            <w:pPr>
              <w:spacing w:after="40" w:before="40"/>
            </w:pPr>
            <w:r>
              <w:rPr>
                <w:b/>
                <w:bCs/>
                <w:sz w:val="20"/>
                <w:szCs w:val="20"/>
              </w:rPr>
              <w:t xml:space="preserve">Parameter</w:t>
            </w:r>
          </w:p>
        </w:tc>
        <w:tc>
          <w:tcPr>
            <w:tcW w:type="dxa" w:w="1872"/>
            <w:shd w:fill="D9E2F3" w:val="clear"/>
            <w:tcMar>
              <w:top w:type="dxa" w:w="60"/>
              <w:left w:type="dxa" w:w="100"/>
              <w:bottom w:type="dxa" w:w="60"/>
              <w:right w:type="dxa" w:w="100"/>
            </w:tcMar>
          </w:tcPr>
          <w:p>
            <w:pPr>
              <w:spacing w:after="40" w:before="40"/>
            </w:pPr>
            <w:r>
              <w:rPr>
                <w:b/>
                <w:bCs/>
                <w:sz w:val="20"/>
                <w:szCs w:val="20"/>
              </w:rPr>
              <w:t xml:space="preserve">Value</w:t>
            </w:r>
          </w:p>
        </w:tc>
        <w:tc>
          <w:tcPr>
            <w:tcW w:type="dxa" w:w="1872"/>
            <w:shd w:fill="D9E2F3" w:val="clear"/>
            <w:tcMar>
              <w:top w:type="dxa" w:w="60"/>
              <w:left w:type="dxa" w:w="100"/>
              <w:bottom w:type="dxa" w:w="60"/>
              <w:right w:type="dxa" w:w="100"/>
            </w:tcMar>
          </w:tcPr>
          <w:p>
            <w:pPr>
              <w:spacing w:after="40" w:before="40"/>
            </w:pPr>
            <w:r>
              <w:rPr>
                <w:b/>
                <w:bCs/>
                <w:sz w:val="20"/>
                <w:szCs w:val="20"/>
              </w:rPr>
              <w:t xml:space="preserve">Units</w:t>
            </w:r>
          </w:p>
        </w:tc>
        <w:tc>
          <w:tcPr>
            <w:tcW w:type="dxa" w:w="1872"/>
            <w:shd w:fill="D9E2F3" w:val="clear"/>
            <w:tcMar>
              <w:top w:type="dxa" w:w="60"/>
              <w:left w:type="dxa" w:w="100"/>
              <w:bottom w:type="dxa" w:w="60"/>
              <w:right w:type="dxa" w:w="100"/>
            </w:tcMar>
          </w:tcPr>
          <w:p>
            <w:pPr>
              <w:spacing w:after="40" w:before="40"/>
            </w:pPr>
            <w:r>
              <w:rPr>
                <w:b/>
                <w:bCs/>
                <w:sz w:val="20"/>
                <w:szCs w:val="20"/>
              </w:rPr>
              <w:t xml:space="preserve">Description</w:t>
            </w:r>
          </w:p>
        </w:tc>
        <w:tc>
          <w:tcPr>
            <w:tcW w:type="dxa" w:w="1872"/>
            <w:shd w:fill="D9E2F3" w:val="clear"/>
            <w:tcMar>
              <w:top w:type="dxa" w:w="60"/>
              <w:left w:type="dxa" w:w="100"/>
              <w:bottom w:type="dxa" w:w="60"/>
              <w:right w:type="dxa" w:w="100"/>
            </w:tcMar>
          </w:tcPr>
          <w:p>
            <w:pPr>
              <w:spacing w:after="40" w:before="40"/>
            </w:pPr>
            <w:r>
              <w:rPr>
                <w:b/>
                <w:bCs/>
                <w:sz w:val="20"/>
                <w:szCs w:val="20"/>
              </w:rPr>
              <w:t xml:space="preserve">Source</w:t>
            </w:r>
          </w:p>
        </w:tc>
      </w:tr>
      <w:tr>
        <w:trPr>
          <w:tblHeader w:val="false"/>
        </w:trPr>
        <w:tc>
          <w:tcPr>
            <w:tcW w:type="dxa" w:w="1872"/>
            <w:tcMar>
              <w:top w:type="dxa" w:w="60"/>
              <w:left w:type="dxa" w:w="100"/>
              <w:bottom w:type="dxa" w:w="60"/>
              <w:right w:type="dxa" w:w="100"/>
            </w:tcMar>
          </w:tcPr>
          <w:p>
            <w:pPr>
              <w:spacing w:after="40" w:before="40"/>
            </w:pPr>
            <w:r>
              <w:rPr>
                <w:b w:val="false"/>
                <w:bCs w:val="false"/>
                <w:sz w:val="18"/>
                <w:szCs w:val="18"/>
              </w:rPr>
              <w:t xml:space="preserve">k_mat</w:t>
            </w:r>
          </w:p>
        </w:tc>
        <w:tc>
          <w:tcPr>
            <w:tcW w:type="dxa" w:w="1872"/>
            <w:tcMar>
              <w:top w:type="dxa" w:w="60"/>
              <w:left w:type="dxa" w:w="100"/>
              <w:bottom w:type="dxa" w:w="60"/>
              <w:right w:type="dxa" w:w="100"/>
            </w:tcMar>
          </w:tcPr>
          <w:p>
            <w:pPr>
              <w:spacing w:after="40" w:before="40"/>
            </w:pPr>
            <w:r>
              <w:rPr>
                <w:b w:val="false"/>
                <w:bCs w:val="false"/>
                <w:sz w:val="18"/>
                <w:szCs w:val="18"/>
              </w:rPr>
              <w:t>0.048</w:t>
            </w:r>
          </w:p>
        </w:tc>
        <w:tc>
          <w:tcPr>
            <w:tcW w:type="dxa" w:w="1872"/>
            <w:tcMar>
              <w:top w:type="dxa" w:w="60"/>
              <w:left w:type="dxa" w:w="100"/>
              <w:bottom w:type="dxa" w:w="60"/>
              <w:right w:type="dxa" w:w="100"/>
            </w:tcMar>
          </w:tcPr>
          <w:p>
            <w:pPr>
              <w:spacing w:after="40" w:before="40"/>
            </w:pPr>
            <w:r>
              <w:rPr>
                <w:b w:val="false"/>
                <w:bCs w:val="false"/>
                <w:sz w:val="18"/>
                <w:szCs w:val="18"/>
              </w:rPr>
              <w:t xml:space="preserve">/min</w:t>
            </w:r>
          </w:p>
        </w:tc>
        <w:tc>
          <w:tcPr>
            <w:tcW w:type="dxa" w:w="1872"/>
            <w:tcMar>
              <w:top w:type="dxa" w:w="60"/>
              <w:left w:type="dxa" w:w="100"/>
              <w:bottom w:type="dxa" w:w="60"/>
              <w:right w:type="dxa" w:w="100"/>
            </w:tcMar>
          </w:tcPr>
          <w:p>
            <w:pPr>
              <w:spacing w:after="40" w:before="40"/>
            </w:pPr>
            <w:r>
              <w:rPr>
                <w:b w:val="false"/>
                <w:bCs w:val="false"/>
                <w:sz w:val="18"/>
                <w:szCs w:val="18"/>
              </w:rPr>
              <w:t xml:space="preserve">EE→LE maturation rate</w:t>
            </w:r>
          </w:p>
        </w:tc>
        <w:tc>
          <w:tcPr>
            <w:tcW w:type="dxa" w:w="1872"/>
            <w:tcMar>
              <w:top w:type="dxa" w:w="60"/>
              <w:left w:type="dxa" w:w="100"/>
              <w:bottom w:type="dxa" w:w="60"/>
              <w:right w:type="dxa" w:w="100"/>
            </w:tcMar>
          </w:tcPr>
          <w:p>
            <w:pPr>
              <w:spacing w:after="40" w:before="40"/>
            </w:pPr>
            <w:r>
              <w:rPr>
                <w:b w:val="false"/>
                <w:bCs w:val="false"/>
                <w:sz w:val="18"/>
                <w:szCs w:val="18"/>
              </w:rPr>
              <w:t>Shipman et al. (2022) k_m,1 (AEE→AV maturation, OK cells); corroborates the prior Rab5→Rab7 estimate to within ~20%</w:t>
            </w:r>
          </w:p>
        </w:tc>
      </w:tr>
      <w:tr>
        <w:trPr>
          <w:tblHeader w:val="false"/>
        </w:trPr>
        <w:tc>
          <w:tcPr>
            <w:tcW w:type="dxa" w:w="1872"/>
            <w:tcMar>
              <w:top w:type="dxa" w:w="60"/>
              <w:left w:type="dxa" w:w="100"/>
              <w:bottom w:type="dxa" w:w="60"/>
              <w:right w:type="dxa" w:w="100"/>
            </w:tcMar>
          </w:tcPr>
          <w:p>
            <w:pPr>
              <w:spacing w:after="40" w:before="40"/>
            </w:pPr>
            <w:r>
              <w:rPr>
                <w:b w:val="false"/>
                <w:bCs w:val="false"/>
                <w:sz w:val="18"/>
                <w:szCs w:val="18"/>
              </w:rPr>
              <w:t xml:space="preserve">k_rec</w:t>
            </w:r>
          </w:p>
        </w:tc>
        <w:tc>
          <w:tcPr>
            <w:tcW w:type="dxa" w:w="1872"/>
            <w:tcMar>
              <w:top w:type="dxa" w:w="60"/>
              <w:left w:type="dxa" w:w="100"/>
              <w:bottom w:type="dxa" w:w="60"/>
              <w:right w:type="dxa" w:w="100"/>
            </w:tcMar>
          </w:tcPr>
          <w:p>
            <w:pPr>
              <w:spacing w:after="40" w:before="40"/>
            </w:pPr>
            <w:r>
              <w:rPr>
                <w:b w:val="false"/>
                <w:bCs w:val="false"/>
                <w:sz w:val="18"/>
                <w:szCs w:val="18"/>
              </w:rPr>
              <w:t>0.02 (band 0.02–0.046)</w:t>
            </w:r>
          </w:p>
        </w:tc>
        <w:tc>
          <w:tcPr>
            <w:tcW w:type="dxa" w:w="1872"/>
            <w:tcMar>
              <w:top w:type="dxa" w:w="60"/>
              <w:left w:type="dxa" w:w="100"/>
              <w:bottom w:type="dxa" w:w="60"/>
              <w:right w:type="dxa" w:w="100"/>
            </w:tcMar>
          </w:tcPr>
          <w:p>
            <w:pPr>
              <w:spacing w:after="40" w:before="40"/>
            </w:pPr>
            <w:r>
              <w:rPr>
                <w:b w:val="false"/>
                <w:bCs w:val="false"/>
                <w:sz w:val="18"/>
                <w:szCs w:val="18"/>
              </w:rPr>
              <w:t xml:space="preserve">/min</w:t>
            </w:r>
          </w:p>
        </w:tc>
        <w:tc>
          <w:tcPr>
            <w:tcW w:type="dxa" w:w="1872"/>
            <w:tcMar>
              <w:top w:type="dxa" w:w="60"/>
              <w:left w:type="dxa" w:w="100"/>
              <w:bottom w:type="dxa" w:w="60"/>
              <w:right w:type="dxa" w:w="100"/>
            </w:tcMar>
          </w:tcPr>
          <w:p>
            <w:pPr>
              <w:spacing w:after="40" w:before="40"/>
            </w:pPr>
            <w:r>
              <w:rPr>
                <w:b w:val="false"/>
                <w:bCs w:val="false"/>
                <w:sz w:val="18"/>
                <w:szCs w:val="18"/>
              </w:rPr>
              <w:t xml:space="preserve">EE→surface recycling rate</w:t>
            </w:r>
          </w:p>
        </w:tc>
        <w:tc>
          <w:tcPr>
            <w:tcW w:type="dxa" w:w="1872"/>
            <w:tcMar>
              <w:top w:type="dxa" w:w="60"/>
              <w:left w:type="dxa" w:w="100"/>
              <w:bottom w:type="dxa" w:w="60"/>
              <w:right w:type="dxa" w:w="100"/>
            </w:tcMar>
          </w:tcPr>
          <w:p>
            <w:pPr>
              <w:spacing w:after="40" w:before="40"/>
            </w:pPr>
            <w:r>
              <w:rPr>
                <w:b w:val="false"/>
                <w:bCs w:val="false"/>
                <w:sz w:val="18"/>
                <w:szCs w:val="18"/>
              </w:rPr>
              <w:t>Shipman et al. (2022): nominal at the lower bound (= prior value); upper bound = k_DAT,f (fast early-endosome recycling). Treated as an uncertain/swept parameter, not hard-fixed</w:t>
            </w:r>
          </w:p>
        </w:tc>
      </w:tr>
      <w:tr>
        <w:trPr>
          <w:tblHeader w:val="false"/>
        </w:trPr>
        <w:tc>
          <w:tcPr>
            <w:tcW w:type="dxa" w:w="1872"/>
            <w:tcMar>
              <w:top w:type="dxa" w:w="60"/>
              <w:left w:type="dxa" w:w="100"/>
              <w:bottom w:type="dxa" w:w="60"/>
              <w:right w:type="dxa" w:w="100"/>
            </w:tcMar>
          </w:tcPr>
          <w:p>
            <w:pPr>
              <w:spacing w:after="40" w:before="40"/>
            </w:pPr>
            <w:r>
              <w:rPr>
                <w:b w:val="false"/>
                <w:bCs w:val="false"/>
                <w:sz w:val="18"/>
                <w:szCs w:val="18"/>
              </w:rPr>
              <w:t xml:space="preserve">k_fuse</w:t>
            </w:r>
          </w:p>
        </w:tc>
        <w:tc>
          <w:tcPr>
            <w:tcW w:type="dxa" w:w="1872"/>
            <w:tcMar>
              <w:top w:type="dxa" w:w="60"/>
              <w:left w:type="dxa" w:w="100"/>
              <w:bottom w:type="dxa" w:w="60"/>
              <w:right w:type="dxa" w:w="100"/>
            </w:tcMar>
          </w:tcPr>
          <w:p>
            <w:pPr>
              <w:spacing w:after="40" w:before="40"/>
            </w:pPr>
            <w:r>
              <w:rPr>
                <w:b w:val="false"/>
                <w:bCs w:val="false"/>
                <w:sz w:val="18"/>
                <w:szCs w:val="18"/>
              </w:rPr>
              <w:t>0.0094</w:t>
            </w:r>
          </w:p>
        </w:tc>
        <w:tc>
          <w:tcPr>
            <w:tcW w:type="dxa" w:w="1872"/>
            <w:tcMar>
              <w:top w:type="dxa" w:w="60"/>
              <w:left w:type="dxa" w:w="100"/>
              <w:bottom w:type="dxa" w:w="60"/>
              <w:right w:type="dxa" w:w="100"/>
            </w:tcMar>
          </w:tcPr>
          <w:p>
            <w:pPr>
              <w:spacing w:after="40" w:before="40"/>
            </w:pPr>
            <w:r>
              <w:rPr>
                <w:b w:val="false"/>
                <w:bCs w:val="false"/>
                <w:sz w:val="18"/>
                <w:szCs w:val="18"/>
              </w:rPr>
              <w:t xml:space="preserve">/min</w:t>
            </w:r>
          </w:p>
        </w:tc>
        <w:tc>
          <w:tcPr>
            <w:tcW w:type="dxa" w:w="1872"/>
            <w:tcMar>
              <w:top w:type="dxa" w:w="60"/>
              <w:left w:type="dxa" w:w="100"/>
              <w:bottom w:type="dxa" w:w="60"/>
              <w:right w:type="dxa" w:w="100"/>
            </w:tcMar>
          </w:tcPr>
          <w:p>
            <w:pPr>
              <w:spacing w:after="40" w:before="40"/>
            </w:pPr>
            <w:r>
              <w:rPr>
                <w:b w:val="false"/>
                <w:bCs w:val="false"/>
                <w:sz w:val="18"/>
                <w:szCs w:val="18"/>
              </w:rPr>
              <w:t xml:space="preserve">LE→lysosome fusion rate</w:t>
            </w:r>
          </w:p>
        </w:tc>
        <w:tc>
          <w:tcPr>
            <w:tcW w:type="dxa" w:w="1872"/>
            <w:tcMar>
              <w:top w:type="dxa" w:w="60"/>
              <w:left w:type="dxa" w:w="100"/>
              <w:bottom w:type="dxa" w:w="60"/>
              <w:right w:type="dxa" w:w="100"/>
            </w:tcMar>
          </w:tcPr>
          <w:p>
            <w:pPr>
              <w:spacing w:after="40" w:before="40"/>
            </w:pPr>
            <w:r>
              <w:rPr>
                <w:b w:val="false"/>
                <w:bCs w:val="false"/>
                <w:sz w:val="18"/>
                <w:szCs w:val="18"/>
              </w:rPr>
              <w:t>Shipman et al. (2022) k_m,2 (AV→lysosome maturation, OK cells); ~2× slower than the earlier generic LE-lysosome estimate</w:t>
            </w:r>
          </w:p>
        </w:tc>
      </w:tr>
      <w:tr>
        <w:trPr>
          <w:tblHeader w:val="false"/>
        </w:trPr>
        <w:tc>
          <w:tcPr>
            <w:tcW w:type="dxa" w:w="1872"/>
            <w:tcMar>
              <w:top w:type="dxa" w:w="60"/>
              <w:left w:type="dxa" w:w="100"/>
              <w:bottom w:type="dxa" w:w="60"/>
              <w:right w:type="dxa" w:w="100"/>
            </w:tcMar>
          </w:tcPr>
          <w:p>
            <w:pPr>
              <w:spacing w:after="40" w:before="40"/>
            </w:pPr>
            <w:r>
              <w:rPr>
                <w:b w:val="false"/>
                <w:bCs w:val="false"/>
                <w:sz w:val="18"/>
                <w:szCs w:val="18"/>
              </w:rPr>
              <w:t xml:space="preserve">k_esc</w:t>
            </w:r>
          </w:p>
        </w:tc>
        <w:tc>
          <w:tcPr>
            <w:tcW w:type="dxa" w:w="1872"/>
            <w:tcMar>
              <w:top w:type="dxa" w:w="60"/>
              <w:left w:type="dxa" w:w="100"/>
              <w:bottom w:type="dxa" w:w="60"/>
              <w:right w:type="dxa" w:w="100"/>
            </w:tcMar>
          </w:tcPr>
          <w:p>
            <w:pPr>
              <w:spacing w:after="40" w:before="40"/>
            </w:pPr>
            <w:r>
              <w:rPr>
                <w:b w:val="false"/>
                <w:bCs w:val="false"/>
                <w:sz w:val="18"/>
                <w:szCs w:val="18"/>
              </w:rPr>
              <w:t>0.0002</w:t>
            </w:r>
          </w:p>
        </w:tc>
        <w:tc>
          <w:tcPr>
            <w:tcW w:type="dxa" w:w="1872"/>
            <w:tcMar>
              <w:top w:type="dxa" w:w="60"/>
              <w:left w:type="dxa" w:w="100"/>
              <w:bottom w:type="dxa" w:w="60"/>
              <w:right w:type="dxa" w:w="100"/>
            </w:tcMar>
          </w:tcPr>
          <w:p>
            <w:pPr>
              <w:spacing w:after="40" w:before="40"/>
            </w:pPr>
            <w:r>
              <w:rPr>
                <w:b w:val="false"/>
                <w:bCs w:val="false"/>
                <w:sz w:val="18"/>
                <w:szCs w:val="18"/>
              </w:rPr>
              <w:t xml:space="preserve">/min</w:t>
            </w:r>
          </w:p>
        </w:tc>
        <w:tc>
          <w:tcPr>
            <w:tcW w:type="dxa" w:w="1872"/>
            <w:tcMar>
              <w:top w:type="dxa" w:w="60"/>
              <w:left w:type="dxa" w:w="100"/>
              <w:bottom w:type="dxa" w:w="60"/>
              <w:right w:type="dxa" w:w="100"/>
            </w:tcMar>
          </w:tcPr>
          <w:p>
            <w:pPr>
              <w:spacing w:after="40" w:before="40"/>
            </w:pPr>
            <w:r>
              <w:rPr>
                <w:b w:val="false"/>
                <w:bCs w:val="false"/>
                <w:sz w:val="18"/>
                <w:szCs w:val="18"/>
              </w:rPr>
              <w:t xml:space="preserve">LE→cytosol escape rate</w:t>
            </w:r>
          </w:p>
        </w:tc>
        <w:tc>
          <w:tcPr>
            <w:tcW w:type="dxa" w:w="1872"/>
            <w:tcMar>
              <w:top w:type="dxa" w:w="60"/>
              <w:left w:type="dxa" w:w="100"/>
              <w:bottom w:type="dxa" w:w="60"/>
              <w:right w:type="dxa" w:w="100"/>
            </w:tcMar>
          </w:tcPr>
          <w:p>
            <w:pPr>
              <w:spacing w:after="40" w:before="40"/>
            </w:pPr>
            <w:r>
              <w:rPr>
                <w:b w:val="false"/>
                <w:bCs w:val="false"/>
                <w:sz w:val="18"/>
                <w:szCs w:val="18"/>
              </w:rPr>
              <w:t>~1% of LE content escapes (Gilleron et al. 2013); not transferred from Shipman (receptor recycles but cargo does not escape)</w:t>
            </w:r>
          </w:p>
        </w:tc>
      </w:tr>
    </w:tbl>
    <w:p>
      <w:pPr>
        <w:spacing w:after="80" w:before="0"/>
      </w:pPr>
    </w:p>
    <w:p>
      <w:pPr>
        <w:spacing w:after="160" w:before="0"/>
      </w:pPr>
      <w:r>
        <w:rPr>
          <w:b/>
          <w:bCs/>
          <w:sz w:val="22"/>
          <w:szCs w:val="22"/>
        </w:rPr>
        <w:t xml:space="preserve">Drug/cell-specific parameters (fitted or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gridCol w:w="100"/>
      </w:tblGrid>
      <w:tr>
        <w:trPr>
          <w:tblHeader/>
        </w:trPr>
        <w:tc>
          <w:tcPr>
            <w:tcW w:type="dxa" w:w="1872"/>
            <w:shd w:fill="D9E2F3" w:val="clear"/>
            <w:tcMar>
              <w:top w:type="dxa" w:w="60"/>
              <w:left w:type="dxa" w:w="100"/>
              <w:bottom w:type="dxa" w:w="60"/>
              <w:right w:type="dxa" w:w="100"/>
            </w:tcMar>
          </w:tcPr>
          <w:p>
            <w:pPr>
              <w:spacing w:after="40" w:before="40"/>
            </w:pPr>
            <w:r>
              <w:rPr>
                <w:b/>
                <w:bCs/>
                <w:sz w:val="20"/>
                <w:szCs w:val="20"/>
              </w:rPr>
              <w:t xml:space="preserve">Parameter</w:t>
            </w:r>
          </w:p>
        </w:tc>
        <w:tc>
          <w:tcPr>
            <w:tcW w:type="dxa" w:w="1872"/>
            <w:shd w:fill="D9E2F3" w:val="clear"/>
            <w:tcMar>
              <w:top w:type="dxa" w:w="60"/>
              <w:left w:type="dxa" w:w="100"/>
              <w:bottom w:type="dxa" w:w="60"/>
              <w:right w:type="dxa" w:w="100"/>
            </w:tcMar>
          </w:tcPr>
          <w:p>
            <w:pPr>
              <w:spacing w:after="40" w:before="40"/>
            </w:pPr>
            <w:r>
              <w:rPr>
                <w:b/>
                <w:bCs/>
                <w:sz w:val="20"/>
                <w:szCs w:val="20"/>
              </w:rPr>
              <w:t xml:space="preserve">Value</w:t>
            </w:r>
          </w:p>
        </w:tc>
        <w:tc>
          <w:tcPr>
            <w:tcW w:type="dxa" w:w="1872"/>
            <w:shd w:fill="D9E2F3" w:val="clear"/>
            <w:tcMar>
              <w:top w:type="dxa" w:w="60"/>
              <w:left w:type="dxa" w:w="100"/>
              <w:bottom w:type="dxa" w:w="60"/>
              <w:right w:type="dxa" w:w="100"/>
            </w:tcMar>
          </w:tcPr>
          <w:p>
            <w:pPr>
              <w:spacing w:after="40" w:before="40"/>
            </w:pPr>
            <w:r>
              <w:rPr>
                <w:b/>
                <w:bCs/>
                <w:sz w:val="20"/>
                <w:szCs w:val="20"/>
              </w:rPr>
              <w:t xml:space="preserve">Units</w:t>
            </w:r>
          </w:p>
        </w:tc>
        <w:tc>
          <w:tcPr>
            <w:tcW w:type="dxa" w:w="1872"/>
            <w:shd w:fill="D9E2F3" w:val="clear"/>
            <w:tcMar>
              <w:top w:type="dxa" w:w="60"/>
              <w:left w:type="dxa" w:w="100"/>
              <w:bottom w:type="dxa" w:w="60"/>
              <w:right w:type="dxa" w:w="100"/>
            </w:tcMar>
          </w:tcPr>
          <w:p>
            <w:pPr>
              <w:spacing w:after="40" w:before="40"/>
            </w:pPr>
            <w:r>
              <w:rPr>
                <w:b/>
                <w:bCs/>
                <w:sz w:val="20"/>
                <w:szCs w:val="20"/>
              </w:rPr>
              <w:t xml:space="preserve">Description</w:t>
            </w:r>
          </w:p>
        </w:tc>
        <w:tc>
          <w:tcPr>
            <w:tcW w:type="dxa" w:w="1872"/>
            <w:shd w:fill="D9E2F3" w:val="clear"/>
            <w:tcMar>
              <w:top w:type="dxa" w:w="60"/>
              <w:left w:type="dxa" w:w="100"/>
              <w:bottom w:type="dxa" w:w="60"/>
              <w:right w:type="dxa" w:w="100"/>
            </w:tcMar>
          </w:tcPr>
          <w:p>
            <w:pPr>
              <w:spacing w:after="40" w:before="40"/>
            </w:pPr>
            <w:r>
              <w:rPr>
                <w:b/>
                <w:bCs/>
                <w:sz w:val="20"/>
                <w:szCs w:val="20"/>
              </w:rPr>
              <w:t xml:space="preserve">How determined</w:t>
            </w:r>
          </w:p>
        </w:tc>
      </w:tr>
      <w:tr>
        <w:trPr>
          <w:tblHeader w:val="false"/>
        </w:trPr>
        <w:tc>
          <w:tcPr>
            <w:tcW w:type="dxa" w:w="1872"/>
            <w:tcMar>
              <w:top w:type="dxa" w:w="60"/>
              <w:left w:type="dxa" w:w="100"/>
              <w:bottom w:type="dxa" w:w="60"/>
              <w:right w:type="dxa" w:w="100"/>
            </w:tcMar>
          </w:tcPr>
          <w:p>
            <w:pPr>
              <w:spacing w:after="40" w:before="40"/>
            </w:pPr>
            <w:r>
              <w:rPr>
                <w:b w:val="false"/>
                <w:bCs w:val="false"/>
                <w:sz w:val="18"/>
                <w:szCs w:val="18"/>
              </w:rPr>
              <w:t xml:space="preserve">k_uptake_RPTEC</w:t>
            </w:r>
          </w:p>
        </w:tc>
        <w:tc>
          <w:tcPr>
            <w:tcW w:type="dxa" w:w="1872"/>
            <w:tcMar>
              <w:top w:type="dxa" w:w="60"/>
              <w:left w:type="dxa" w:w="100"/>
              <w:bottom w:type="dxa" w:w="60"/>
              <w:right w:type="dxa" w:w="100"/>
            </w:tcMar>
          </w:tcPr>
          <w:p>
            <w:pPr>
              <w:spacing w:after="40" w:before="40"/>
            </w:pPr>
            <w:r>
              <w:rPr>
                <w:b w:val="false"/>
                <w:bCs w:val="false"/>
                <w:sz w:val="18"/>
                <w:szCs w:val="18"/>
              </w:rPr>
              <w:t>2.635 × 10⁻⁷ (band 2.64–3.60 × 10⁻⁷)</w:t>
            </w:r>
          </w:p>
        </w:tc>
        <w:tc>
          <w:tcPr>
            <w:tcW w:type="dxa" w:w="1872"/>
            <w:tcMar>
              <w:top w:type="dxa" w:w="60"/>
              <w:left w:type="dxa" w:w="100"/>
              <w:bottom w:type="dxa" w:w="60"/>
              <w:right w:type="dxa" w:w="100"/>
            </w:tcMar>
          </w:tcPr>
          <w:p>
            <w:pPr>
              <w:spacing w:after="40" w:before="40"/>
            </w:pPr>
            <w:r>
              <w:rPr>
                <w:b w:val="false"/>
                <w:bCs w:val="false"/>
                <w:sz w:val="18"/>
                <w:szCs w:val="18"/>
              </w:rPr>
              <w:t xml:space="preserve">fmol/cell/min/µM</w:t>
            </w:r>
          </w:p>
        </w:tc>
        <w:tc>
          <w:tcPr>
            <w:tcW w:type="dxa" w:w="1872"/>
            <w:tcMar>
              <w:top w:type="dxa" w:w="60"/>
              <w:left w:type="dxa" w:w="100"/>
              <w:bottom w:type="dxa" w:w="60"/>
              <w:right w:type="dxa" w:w="100"/>
            </w:tcMar>
          </w:tcPr>
          <w:p>
            <w:pPr>
              <w:spacing w:after="40" w:before="40"/>
            </w:pPr>
            <w:r>
              <w:rPr>
                <w:b w:val="false"/>
                <w:bCs w:val="false"/>
                <w:sz w:val="18"/>
                <w:szCs w:val="18"/>
              </w:rPr>
              <w:t xml:space="preserve">Lumped uptake rate, RPTEC/TERT1</w:t>
            </w:r>
          </w:p>
        </w:tc>
        <w:tc>
          <w:tcPr>
            <w:tcW w:type="dxa" w:w="1872"/>
            <w:tcMar>
              <w:top w:type="dxa" w:w="60"/>
              <w:left w:type="dxa" w:w="100"/>
              <w:bottom w:type="dxa" w:w="60"/>
              <w:right w:type="dxa" w:w="100"/>
            </w:tcMar>
          </w:tcPr>
          <w:p>
            <w:pPr>
              <w:spacing w:after="40" w:before="40"/>
            </w:pPr>
            <w:r>
              <w:rPr>
                <w:b w:val="false"/>
                <w:bCs w:val="false"/>
                <w:sz w:val="18"/>
                <w:szCs w:val="18"/>
              </w:rPr>
              <w:t>Fitted (Step 1) at nominal k_rec = 0.02; band propagated from k_rec 0.02–0.046</w:t>
            </w:r>
          </w:p>
        </w:tc>
      </w:tr>
      <w:tr>
        <w:trPr>
          <w:tblHeader w:val="false"/>
        </w:trPr>
        <w:tc>
          <w:tcPr>
            <w:tcW w:type="dxa" w:w="1872"/>
            <w:tcMar>
              <w:top w:type="dxa" w:w="60"/>
              <w:left w:type="dxa" w:w="100"/>
              <w:bottom w:type="dxa" w:w="60"/>
              <w:right w:type="dxa" w:w="100"/>
            </w:tcMar>
          </w:tcPr>
          <w:p>
            <w:pPr>
              <w:spacing w:after="40" w:before="40"/>
            </w:pPr>
            <w:r>
              <w:rPr>
                <w:b w:val="false"/>
                <w:bCs w:val="false"/>
                <w:sz w:val="18"/>
                <w:szCs w:val="18"/>
              </w:rPr>
              <w:t xml:space="preserve">k_uptake_NRK</w:t>
            </w:r>
          </w:p>
        </w:tc>
        <w:tc>
          <w:tcPr>
            <w:tcW w:type="dxa" w:w="1872"/>
            <w:tcMar>
              <w:top w:type="dxa" w:w="60"/>
              <w:left w:type="dxa" w:w="100"/>
              <w:bottom w:type="dxa" w:w="60"/>
              <w:right w:type="dxa" w:w="100"/>
            </w:tcMar>
          </w:tcPr>
          <w:p>
            <w:pPr>
              <w:spacing w:after="40" w:before="40"/>
            </w:pPr>
            <w:r>
              <w:rPr>
                <w:b w:val="false"/>
                <w:bCs w:val="false"/>
                <w:sz w:val="18"/>
                <w:szCs w:val="18"/>
              </w:rPr>
              <w:t>3.373 × 10⁻⁸</w:t>
            </w:r>
          </w:p>
        </w:tc>
        <w:tc>
          <w:tcPr>
            <w:tcW w:type="dxa" w:w="1872"/>
            <w:tcMar>
              <w:top w:type="dxa" w:w="60"/>
              <w:left w:type="dxa" w:w="100"/>
              <w:bottom w:type="dxa" w:w="60"/>
              <w:right w:type="dxa" w:w="100"/>
            </w:tcMar>
          </w:tcPr>
          <w:p>
            <w:pPr>
              <w:spacing w:after="40" w:before="40"/>
            </w:pPr>
            <w:r>
              <w:rPr>
                <w:b w:val="false"/>
                <w:bCs w:val="false"/>
                <w:sz w:val="18"/>
                <w:szCs w:val="18"/>
              </w:rPr>
              <w:t xml:space="preserve">fmol/cell/min/µM</w:t>
            </w:r>
          </w:p>
        </w:tc>
        <w:tc>
          <w:tcPr>
            <w:tcW w:type="dxa" w:w="1872"/>
            <w:tcMar>
              <w:top w:type="dxa" w:w="60"/>
              <w:left w:type="dxa" w:w="100"/>
              <w:bottom w:type="dxa" w:w="60"/>
              <w:right w:type="dxa" w:w="100"/>
            </w:tcMar>
          </w:tcPr>
          <w:p>
            <w:pPr>
              <w:spacing w:after="40" w:before="40"/>
            </w:pPr>
            <w:r>
              <w:rPr>
                <w:b w:val="false"/>
                <w:bCs w:val="false"/>
                <w:sz w:val="18"/>
                <w:szCs w:val="18"/>
              </w:rPr>
              <w:t xml:space="preserve">Lumped uptake rate, NRK-52E</w:t>
            </w:r>
          </w:p>
        </w:tc>
        <w:tc>
          <w:tcPr>
            <w:tcW w:type="dxa" w:w="1872"/>
            <w:tcMar>
              <w:top w:type="dxa" w:w="60"/>
              <w:left w:type="dxa" w:w="100"/>
              <w:bottom w:type="dxa" w:w="60"/>
              <w:right w:type="dxa" w:w="100"/>
            </w:tcMar>
          </w:tcPr>
          <w:p>
            <w:pPr>
              <w:spacing w:after="40" w:before="40"/>
            </w:pPr>
            <w:r>
              <w:rPr>
                <w:b w:val="false"/>
                <w:bCs w:val="false"/>
                <w:sz w:val="18"/>
                <w:szCs w:val="18"/>
              </w:rPr>
              <w:t>Fitted (Step 2A)</w:t>
            </w:r>
          </w:p>
        </w:tc>
      </w:tr>
      <w:tr>
        <w:trPr>
          <w:tblHeader w:val="false"/>
        </w:trPr>
        <w:tc>
          <w:tcPr>
            <w:tcW w:type="dxa" w:w="1872"/>
            <w:tcMar>
              <w:top w:type="dxa" w:w="60"/>
              <w:left w:type="dxa" w:w="100"/>
              <w:bottom w:type="dxa" w:w="60"/>
              <w:right w:type="dxa" w:w="100"/>
            </w:tcMar>
          </w:tcPr>
          <w:p>
            <w:pPr>
              <w:spacing w:after="40" w:before="40"/>
            </w:pPr>
            <w:r>
              <w:rPr>
                <w:b w:val="false"/>
                <w:bCs w:val="false"/>
                <w:sz w:val="18"/>
                <w:szCs w:val="18"/>
              </w:rPr>
              <w:t xml:space="preserve">k_deg_PB</w:t>
            </w:r>
          </w:p>
        </w:tc>
        <w:tc>
          <w:tcPr>
            <w:tcW w:type="dxa" w:w="1872"/>
            <w:tcMar>
              <w:top w:type="dxa" w:w="60"/>
              <w:left w:type="dxa" w:w="100"/>
              <w:bottom w:type="dxa" w:w="60"/>
              <w:right w:type="dxa" w:w="100"/>
            </w:tcMar>
          </w:tcPr>
          <w:p>
            <w:pPr>
              <w:spacing w:after="40" w:before="40"/>
            </w:pPr>
            <w:r>
              <w:rPr>
                <w:b w:val="false"/>
                <w:bCs w:val="false"/>
                <w:sz w:val="18"/>
                <w:szCs w:val="18"/>
              </w:rPr>
              <w:t>2.445 × 10⁻⁴</w:t>
            </w:r>
          </w:p>
        </w:tc>
        <w:tc>
          <w:tcPr>
            <w:tcW w:type="dxa" w:w="1872"/>
            <w:tcMar>
              <w:top w:type="dxa" w:w="60"/>
              <w:left w:type="dxa" w:w="100"/>
              <w:bottom w:type="dxa" w:w="60"/>
              <w:right w:type="dxa" w:w="100"/>
            </w:tcMar>
          </w:tcPr>
          <w:p>
            <w:pPr>
              <w:spacing w:after="40" w:before="40"/>
            </w:pPr>
            <w:r>
              <w:rPr>
                <w:b w:val="false"/>
                <w:bCs w:val="false"/>
                <w:sz w:val="18"/>
                <w:szCs w:val="18"/>
              </w:rPr>
              <w:t xml:space="preserve">/min</w:t>
            </w:r>
          </w:p>
        </w:tc>
        <w:tc>
          <w:tcPr>
            <w:tcW w:type="dxa" w:w="1872"/>
            <w:tcMar>
              <w:top w:type="dxa" w:w="60"/>
              <w:left w:type="dxa" w:w="100"/>
              <w:bottom w:type="dxa" w:w="60"/>
              <w:right w:type="dxa" w:w="100"/>
            </w:tcMar>
          </w:tcPr>
          <w:p>
            <w:pPr>
              <w:spacing w:after="40" w:before="40"/>
            </w:pPr>
            <w:r>
              <w:rPr>
                <w:b w:val="false"/>
                <w:bCs w:val="false"/>
                <w:sz w:val="18"/>
                <w:szCs w:val="18"/>
              </w:rPr>
              <w:t xml:space="preserve">Lysosomal degradation rate, polymyxin B</w:t>
            </w:r>
          </w:p>
        </w:tc>
        <w:tc>
          <w:tcPr>
            <w:tcW w:type="dxa" w:w="1872"/>
            <w:tcMar>
              <w:top w:type="dxa" w:w="60"/>
              <w:left w:type="dxa" w:w="100"/>
              <w:bottom w:type="dxa" w:w="60"/>
              <w:right w:type="dxa" w:w="100"/>
            </w:tcMar>
          </w:tcPr>
          <w:p>
            <w:pPr>
              <w:spacing w:after="40" w:before="40"/>
            </w:pPr>
            <w:r>
              <w:rPr>
                <w:b w:val="false"/>
                <w:bCs w:val="false"/>
                <w:sz w:val="18"/>
                <w:szCs w:val="18"/>
              </w:rPr>
              <w:t>Fitted (Step 1)</w:t>
            </w:r>
          </w:p>
        </w:tc>
      </w:tr>
      <w:tr>
        <w:trPr>
          <w:tblHeader w:val="false"/>
        </w:trPr>
        <w:tc>
          <w:tcPr>
            <w:tcW w:type="dxa" w:w="1872"/>
            <w:tcMar>
              <w:top w:type="dxa" w:w="60"/>
              <w:left w:type="dxa" w:w="100"/>
              <w:bottom w:type="dxa" w:w="60"/>
              <w:right w:type="dxa" w:w="100"/>
            </w:tcMar>
          </w:tcPr>
          <w:p>
            <w:pPr>
              <w:spacing w:after="40" w:before="40"/>
            </w:pPr>
            <w:r>
              <w:rPr>
                <w:b w:val="false"/>
                <w:bCs w:val="false"/>
                <w:sz w:val="18"/>
                <w:szCs w:val="18"/>
              </w:rPr>
              <w:t xml:space="preserve">K_m</w:t>
            </w:r>
          </w:p>
        </w:tc>
        <w:tc>
          <w:tcPr>
            <w:tcW w:type="dxa" w:w="1872"/>
            <w:tcMar>
              <w:top w:type="dxa" w:w="60"/>
              <w:left w:type="dxa" w:w="100"/>
              <w:bottom w:type="dxa" w:w="60"/>
              <w:right w:type="dxa" w:w="100"/>
            </w:tcMar>
          </w:tcPr>
          <w:p>
            <w:pPr>
              <w:spacing w:after="40" w:before="40"/>
            </w:pPr>
            <w:r>
              <w:rPr>
                <w:b w:val="false"/>
                <w:bCs w:val="false"/>
                <w:sz w:val="18"/>
                <w:szCs w:val="18"/>
              </w:rPr>
              <w:t>200–500</w:t>
            </w:r>
          </w:p>
        </w:tc>
        <w:tc>
          <w:tcPr>
            <w:tcW w:type="dxa" w:w="1872"/>
            <w:tcMar>
              <w:top w:type="dxa" w:w="60"/>
              <w:left w:type="dxa" w:w="100"/>
              <w:bottom w:type="dxa" w:w="60"/>
              <w:right w:type="dxa" w:w="100"/>
            </w:tcMar>
          </w:tcPr>
          <w:p>
            <w:pPr>
              <w:spacing w:after="40" w:before="40"/>
            </w:pPr>
            <w:r>
              <w:rPr>
                <w:b w:val="false"/>
                <w:bCs w:val="false"/>
                <w:sz w:val="18"/>
                <w:szCs w:val="18"/>
              </w:rPr>
              <w:t xml:space="preserve">µM</w:t>
            </w:r>
          </w:p>
        </w:tc>
        <w:tc>
          <w:tcPr>
            <w:tcW w:type="dxa" w:w="1872"/>
            <w:tcMar>
              <w:top w:type="dxa" w:w="60"/>
              <w:left w:type="dxa" w:w="100"/>
              <w:bottom w:type="dxa" w:w="60"/>
              <w:right w:type="dxa" w:w="100"/>
            </w:tcMar>
          </w:tcPr>
          <w:p>
            <w:pPr>
              <w:spacing w:after="40" w:before="40"/>
            </w:pPr>
            <w:r>
              <w:rPr>
                <w:b w:val="false"/>
                <w:bCs w:val="false"/>
                <w:sz w:val="18"/>
                <w:szCs w:val="18"/>
              </w:rPr>
              <w:t xml:space="preserve">Half-maximal uptake concentration</w:t>
            </w:r>
          </w:p>
        </w:tc>
        <w:tc>
          <w:tcPr>
            <w:tcW w:type="dxa" w:w="1872"/>
            <w:tcMar>
              <w:top w:type="dxa" w:w="60"/>
              <w:left w:type="dxa" w:w="100"/>
              <w:bottom w:type="dxa" w:w="60"/>
              <w:right w:type="dxa" w:w="100"/>
            </w:tcMar>
          </w:tcPr>
          <w:p>
            <w:pPr>
              <w:spacing w:after="40" w:before="40"/>
            </w:pPr>
            <w:r>
              <w:rPr>
                <w:b w:val="false"/>
                <w:bCs w:val="false"/>
                <w:sz w:val="18"/>
                <w:szCs w:val="18"/>
              </w:rPr>
              <w:t>Constrained by fit preservation analysis (Section 3.3)</w:t>
            </w:r>
          </w:p>
        </w:tc>
      </w:tr>
    </w:tbl>
    <w:p>
      <w:pPr>
        <w:spacing w:after="80" w:before="0"/>
      </w:pPr>
    </w:p>
    <w:p>
      <w:pPr>
        <w:spacing w:after="160" w:before="0"/>
      </w:pPr>
      <w:r>
        <w:rPr>
          <w:sz w:val="22"/>
          <w:szCs w:val="22"/>
        </w:rPr>
        <w:t xml:space="preserve">In the initial fitting (v0.2), uptake was modelled in its linear approximation: uptake = k_uptake × C_ext, where k_uptake = V_max / K_m. This is valid when C_ext &lt;&lt; K_m. V_max and K_m are not separately identifiable from data at a single extracellular concentration. In v0.3, the full Michaelis-Menten form was restored by assuming K_m and back-calculating V_max = k_uptake × K_m.</w:t>
      </w:r>
    </w:p>
    <w:p>
      <w:pPr>
        <w:pStyle w:val="Heading2"/>
        <w:spacing w:after="80" w:before="280"/>
      </w:pPr>
      <w:r>
        <w:t xml:space="preserve">2.5  Fitting procedure</w:t>
      </w:r>
    </w:p>
    <w:p>
      <w:pPr>
        <w:spacing w:after="160" w:before="0"/>
      </w:pPr>
      <w:r>
        <w:rPr>
          <w:sz w:val="22"/>
          <w:szCs w:val="22"/>
        </w:rPr>
        <w:t xml:space="preserve">Fitting was performed using scipy.optimize.least_squares (trust region reflective method) with log-transformed parameters to enforce positivity. Residuals were computed in log₁₀ space to balance the contribution of early-time (low concentration) and late-time (high concentration) data points across the ~4000 nM dynamic range.</w:t>
      </w:r>
    </w:p>
    <w:p>
      <w:pPr>
        <w:spacing w:after="160" w:before="0"/>
      </w:pPr>
      <w:r>
        <w:rPr>
          <w:b/>
          <w:bCs/>
          <w:sz w:val="22"/>
          <w:szCs w:val="22"/>
        </w:rPr>
        <w:t xml:space="preserve">Step 1:</w:t>
      </w:r>
      <w:r>
        <w:rPr>
          <w:sz w:val="22"/>
          <w:szCs w:val="22"/>
        </w:rPr>
        <w:t xml:space="preserve"> Fit k_uptake_RPTEC and k_deg_PB simultaneously to the 4 non-zero RPTEC/TERT1 data points. All trafficking parameters fixed. Exposure protocol: C_ext = 34 µM for t ∈ [0, 24h], C_ext = 0 for t ∈ (24h, 47.46h].</w:t>
      </w:r>
    </w:p>
    <w:p>
      <w:pPr>
        <w:spacing w:after="160" w:before="0"/>
      </w:pPr>
      <w:r>
        <w:rPr>
          <w:b/>
          <w:bCs/>
          <w:sz w:val="22"/>
          <w:szCs w:val="22"/>
        </w:rPr>
        <w:t xml:space="preserve">Step 2A:</w:t>
      </w:r>
      <w:r>
        <w:rPr>
          <w:sz w:val="22"/>
          <w:szCs w:val="22"/>
        </w:rPr>
        <w:t xml:space="preserve"> Hold k_deg_PB from Step 1. Fit k_uptake_NRK only to the 4 non-zero NRK-52E data points. This tests the hypothesis that the cell-line difference is purely an uptake rate difference.</w:t>
      </w:r>
    </w:p>
    <w:p>
      <w:pPr>
        <w:spacing w:after="160" w:before="0"/>
      </w:pPr>
      <w:r>
        <w:rPr>
          <w:b/>
          <w:bCs/>
          <w:sz w:val="22"/>
          <w:szCs w:val="22"/>
        </w:rPr>
        <w:t xml:space="preserve">Step 2B:</w:t>
      </w:r>
      <w:r>
        <w:rPr>
          <w:sz w:val="22"/>
          <w:szCs w:val="22"/>
        </w:rPr>
        <w:t xml:space="preserve"> Fit both k_uptake_NRK and k_deg_NRK to the NRK-52E data, relaxing the assumption that k_deg is cell-line-independent. Comparison of 2A and 2B assesses whether a species-specific degradation rate is needed.</w:t>
      </w:r>
    </w:p>
    <w:p>
      <w:pPr>
        <w:pStyle w:val="Heading2"/>
        <w:spacing w:after="80" w:before="280"/>
      </w:pPr>
      <w:r>
        <w:t xml:space="preserve">2.6  Stress-testing of fixed parameters</w:t>
      </w:r>
    </w:p>
    <w:p>
      <w:pPr>
        <w:spacing w:after="160" w:before="0"/>
      </w:pPr>
      <w:r>
        <w:rPr>
          <w:sz w:val="22"/>
          <w:szCs w:val="22"/>
        </w:rPr>
        <w:t xml:space="preserve">To assess the sensitivity of fitted parameter values to assumptions about the fixed trafficking parameters, a systematic stress-test was performed. Each fixed parameter (k_mat, k_rec, k_fuse, k_esc) was varied across 5 values spanning an order of magnitude either side of its default value, while the other 3 were held at defaults. For each of the 20 test cases, Steps 1 and 2A were re-run and the fitted k_uptake_RPTEC, k_deg, k_uptake_NRK, and the cell-line uptake ratio were recorded.</w:t>
      </w:r>
    </w:p>
    <w:p>
      <w:pPr>
        <w:pStyle w:val="Heading2"/>
        <w:spacing w:after="80" w:before="280"/>
      </w:pPr>
      <w:r>
        <w:t xml:space="preserve">2.7  Michaelis-Menten analysis and concentration sweep</w:t>
      </w:r>
    </w:p>
    <w:p>
      <w:pPr>
        <w:spacing w:after="160" w:before="0"/>
      </w:pPr>
      <w:r>
        <w:rPr>
          <w:sz w:val="22"/>
          <w:szCs w:val="22"/>
        </w:rPr>
        <w:t xml:space="preserve">To assess model behaviour at concentrations above the calibration point (34 µM), the linear uptake term was replaced with the full Michaelis-Menten form for four assumed K_m values (50, 100, 200, 500 µM). V_max was back-calculated for each K_m to preserve the fitted k_uptake ratio. The model was then simulated at C_ext = 34, 125, 250, 500, 1000, and 2000 µM. Predicted threshold crossing times for lysosomal load were compared to the timing of lysosomal effects observed in Jarzina et al.’s time-resolved high-content imaging experiments (lysosomal changes at 1–2h at 125 µM in RPTEC/TERT1 cells).</w:t>
      </w:r>
    </w:p>
    <w:p>
      <w:pPr>
        <w:pBdr>
          <w:bottom w:val="single" w:color="CCCCCC" w:sz="6" w:space="4"/>
        </w:pBdr>
        <w:spacing w:after="160" w:before="160"/>
      </w:pPr>
    </w:p>
    <w:p>
      <w:pPr>
        <w:pStyle w:val="Heading1"/>
        <w:spacing w:after="120" w:before="360"/>
      </w:pPr>
      <w:r>
        <w:t xml:space="preserve">3. Results</w:t>
      </w:r>
    </w:p>
    <w:p>
      <w:pPr>
        <w:pStyle w:val="Heading2"/>
        <w:spacing w:after="80" w:before="280"/>
      </w:pPr>
      <w:r>
        <w:t>3.1  Model calibration (v0.4)</w:t>
      </w:r>
    </w:p>
    <w:p>
      <w:pPr>
        <w:spacing w:after="160" w:before="0"/>
      </w:pPr>
      <w:r>
        <w:rPr>
          <w:b/>
          <w:bCs/>
          <w:sz w:val="22"/>
          <w:szCs w:val="22"/>
        </w:rPr>
        <w:t>RPTEC/TERT1 (Step 1): The model reproduces the uptake curve within the digitised error bars at all four time points and captures both the accumulation phase (0–24h) and the washout phase (24–48h). Fitted parameters (v0.4, nominal k_rec = 0.02 /min): k_uptake_RPTEC = 2.635 × 10−7 fmol/cell/min/µM, k_deg_PB = 2.445 × 10−4 /min, corresponding to a lysosomal half-life of 47.3 hours. Propagating the k_rec uncertainty band (0.02–0.046 /min, from Shipman et al. 2022) maps k_uptake_RPTEC onto the range 2.64–3.60 × 10−7 (+37% at the upper bound, since faster recycling must be offset by faster uptake), while k_deg_PB is essentially unchanged across the band (2.37–2.45 × 10−4). The log-space SSE was 0.0062, indicating an excellent fit — unchanged from v0.2, confirming the trafficking-rate update does not degrade fit quality.</w:t>
      </w:r>
      <w:r>
        <w:rPr>
          <w:sz w:val="22"/>
          <w:szCs w:val="22"/>
        </w:rPr>
      </w:r>
      <w:r>
        <w:rPr>
          <w:sz w:val="20"/>
          <w:szCs w:val="20"/>
          <w:vertAlign w:val="superscript"/>
        </w:rPr>
      </w:r>
      <w:r>
        <w:rPr>
          <w:sz w:val="22"/>
          <w:szCs w:val="22"/>
        </w:rPr>
      </w:r>
      <w:r>
        <w:rPr>
          <w:sz w:val="20"/>
          <w:szCs w:val="20"/>
          <w:vertAlign w:val="superscript"/>
        </w:rPr>
      </w:r>
      <w:r>
        <w:rPr>
          <w:sz w:val="22"/>
          <w:szCs w:val="22"/>
        </w:rPr>
      </w:r>
    </w:p>
    <w:p>
      <w:pPr>
        <w:spacing w:after="160" w:before="0"/>
      </w:pPr>
      <w:r>
        <w:rPr>
          <w:b/>
          <w:bCs/>
          <w:sz w:val="22"/>
          <w:szCs w:val="22"/>
        </w:rPr>
        <w:t>NRK-52E, Step 2A (k_deg fixed): The model captures the uptake phase (3.5h, 6.4h, 24h points) but overpredicts the washout value. The data shows an 88% drop during 24h recovery (831 → 104 nM), while the model predicts approximately 40% clearance based on the RPTEC-derived k_deg. The fitted k_uptake_NRK = 3.373 × 10−8 fmol/cell/min/µM gives a cell-line uptake rate ratio k_uptake_RPTEC / k_uptake_NRK = 7.81 (note: this is a rate ratio; the corresponding peak intracellular concentration ratio is ~4.75× after accounting for the cell volume difference). This ratio is exactly invariant to the v0.4 trafficking-rate change — the shared fixed parameters cancel between the two cell-line fits. The log-space SSE was 0.8304, substantially worse than Step 1, driven primarily by the washout discrepancy.</w:t>
      </w:r>
      <w:r>
        <w:rPr>
          <w:sz w:val="22"/>
          <w:szCs w:val="22"/>
        </w:rPr>
      </w:r>
      <w:r>
        <w:rPr>
          <w:sz w:val="20"/>
          <w:szCs w:val="20"/>
          <w:vertAlign w:val="superscript"/>
        </w:rPr>
      </w:r>
      <w:r>
        <w:rPr>
          <w:sz w:val="22"/>
          <w:szCs w:val="22"/>
        </w:rPr>
      </w:r>
    </w:p>
    <w:p>
      <w:pPr>
        <w:spacing w:after="160" w:before="0"/>
      </w:pPr>
      <w:r>
        <w:rPr>
          <w:b/>
          <w:bCs/>
          <w:sz w:val="22"/>
          <w:szCs w:val="22"/>
        </w:rPr>
        <w:t>NRK-52E, Step 2B (k_deg free): When k_deg is allowed to vary, a higher degradation rate is fitted (k_deg_NRK = 1.628 × 10−3 /min, corresponding to a lysosomal half-life of 7.1 hours — approximately 6.7× faster than the RPTEC-derived value), improving the fit substantially (log-space SSE = 0.0205). The higher k_deg_NRK relative to k_deg_RPTEC may reflect a genuine species difference in lysosomal processing or may be an artefact of the 104 nM washout value being near the detection limit.</w:t>
      </w:r>
      <w:r>
        <w:rPr>
          <w:sz w:val="22"/>
          <w:szCs w:val="22"/>
        </w:rPr>
      </w:r>
      <w:r>
        <w:rPr>
          <w:sz w:val="20"/>
          <w:szCs w:val="20"/>
          <w:vertAlign w:val="superscript"/>
        </w:rPr>
      </w:r>
      <w:r>
        <w:rPr>
          <w:sz w:val="22"/>
          <w:szCs w:val="22"/>
        </w:rPr>
      </w:r>
    </w:p>
    <w:p>
      <w:pPr>
        <w:spacing w:after="160" w:before="0"/>
      </w:pPr>
      <w:r>
        <w:rPr>
          <w:b/>
          <w:bCs/>
          <w:sz w:val="22"/>
          <w:szCs w:val="22"/>
        </w:rPr>
        <w:t>Compartment distribution at 24h (RPTEC/TERT1): 90% in lysosomes, 8% in late endosomes, 2% in early endosomes. The lysosome still dominates, but the v0.4 late-endosome fraction (~8%) is roughly double the v0.2 value (4%), a direct consequence of the ~2× slower LE→lysosome fusion rate (k_fuse = 0.0094 /min) adopted from Shipman et al. (2022): drug now dwells longer in the late endosome before committing to the lysosome.</w:t>
      </w:r>
      <w:r>
        <w:rPr>
          <w:sz w:val="22"/>
          <w:szCs w:val="22"/>
        </w:rPr>
      </w:r>
    </w:p>
    <w:p>
      <w:pPr>
        <w:pStyle w:val="Heading2"/>
        <w:spacing w:after="80" w:before="280"/>
      </w:pPr>
      <w:r>
        <w:t xml:space="preserve">3.2  Stress-test of fixed parameters</w:t>
      </w:r>
    </w:p>
    <w:p>
      <w:pPr>
        <w:spacing w:after="160" w:before="0"/>
      </w:pPr>
      <w:r>
        <w:rPr>
          <w:sz w:val="22"/>
          <w:szCs w:val="22"/>
        </w:rPr>
        <w:t xml:space="preserve">Varying each fixed trafficking parameter across its full tested range (order of magnitude either side of default) while refitting k_uptake and k_deg showed:</w:t>
      </w:r>
    </w:p>
    <w:p>
      <w:pPr>
        <w:pStyle w:val="ListParagraph"/>
        <w:numPr>
          <w:ilvl w:val="0"/>
          <w:numId w:val="1"/>
        </w:numPr>
        <w:spacing w:after="40" w:before="40"/>
      </w:pPr>
      <w:r>
        <w:rPr>
          <w:b/>
          <w:bCs/>
          <w:sz w:val="22"/>
          <w:szCs w:val="22"/>
        </w:rPr>
        <w:t>k_fuse and k_esc: No meaningful effect on any fitted parameter (maximum fold-change in k_uptake_RPTEC: 1.01× and 1.13× respectively). The model is structurally insensitive to these parameters for the accumulation output — which is also why the ~2× reduction in k_fuse (v0.4) leaves the fitted k_uptake/k_deg almost unchanged even as it shifts the lysosomal-load timing (Section 3.3).</w:t>
      </w:r>
      <w:r>
        <w:rPr>
          <w:sz w:val="22"/>
          <w:szCs w:val="22"/>
        </w:rPr>
      </w:r>
    </w:p>
    <w:p>
      <w:pPr>
        <w:pStyle w:val="ListParagraph"/>
        <w:numPr>
          <w:ilvl w:val="0"/>
          <w:numId w:val="1"/>
        </w:numPr>
        <w:spacing w:after="40" w:before="40"/>
      </w:pPr>
      <w:r>
        <w:rPr>
          <w:b/>
          <w:bCs/>
          <w:sz w:val="22"/>
          <w:szCs w:val="22"/>
        </w:rPr>
        <w:t>k_rec: Moderate sensitivity — k_uptake_RPTEC varied by up to 4.72× across the full stress-test range (k_rec from 0.002 to 0.2 /min). At high k_rec, more drug is recycled, so k_uptake must increase to compensate. In v0.4 the plausible k_rec range is narrowed to 0.02–0.046 /min (Shipman et al. 2022); across this reported band k_uptake_RPTEC varies by +37%, which is carried forward as the headline uptake uncertainty rather than a single point value.</w:t>
      </w:r>
      <w:r>
        <w:rPr>
          <w:sz w:val="22"/>
          <w:szCs w:val="22"/>
        </w:rPr>
      </w:r>
    </w:p>
    <w:p>
      <w:pPr>
        <w:pStyle w:val="ListParagraph"/>
        <w:numPr>
          <w:ilvl w:val="0"/>
          <w:numId w:val="1"/>
        </w:numPr>
        <w:spacing w:after="40" w:before="40"/>
      </w:pPr>
      <w:r>
        <w:rPr>
          <w:b/>
          <w:bCs/>
          <w:sz w:val="22"/>
          <w:szCs w:val="22"/>
        </w:rPr>
        <w:t>k_mat: Modest sensitivity — k_uptake_RPTEC varied by up to 3.22× across the re-centered tested range (k_mat from 0.0048 to 0.48 /min, centred on the v0.4 default 0.048). Sensitivity was concentrated at the lowest k_mat values, where slow maturation creates a bottleneck.</w:t>
      </w:r>
      <w:r>
        <w:rPr>
          <w:sz w:val="22"/>
          <w:szCs w:val="22"/>
        </w:rPr>
      </w:r>
    </w:p>
    <w:p>
      <w:pPr>
        <w:pStyle w:val="ListParagraph"/>
        <w:numPr>
          <w:ilvl w:val="0"/>
          <w:numId w:val="1"/>
        </w:numPr>
        <w:spacing w:after="40" w:before="40"/>
      </w:pPr>
      <w:r>
        <w:rPr>
          <w:b/>
          <w:bCs/>
          <w:sz w:val="22"/>
          <w:szCs w:val="22"/>
        </w:rPr>
        <w:t xml:space="preserve">Cell-line ratio:</w:t>
      </w:r>
      <w:r>
        <w:rPr>
          <w:sz w:val="22"/>
          <w:szCs w:val="22"/>
        </w:rPr>
        <w:t xml:space="preserve"> The ratio k_uptake_RPTEC / k_uptake_NRK remained constant at 7.81 across all 20 test cases, demonstrating that the relative comparison between cell lines is robust to uncertainty in the trafficking parameters.</w:t>
      </w:r>
    </w:p>
    <w:p>
      <w:pPr>
        <w:spacing w:after="80" w:before="0"/>
      </w:pPr>
    </w:p>
    <w:p>
      <w:pPr>
        <w:spacing w:after="160" w:before="0"/>
      </w:pPr>
      <w:r>
        <w:rPr>
          <w:sz w:val="22"/>
          <w:szCs w:val="22"/>
        </w:rPr>
        <w:t xml:space="preserve">The model is </w:t>
      </w:r>
      <w:r>
        <w:rPr>
          <w:b/>
          <w:bCs/>
          <w:sz w:val="22"/>
          <w:szCs w:val="22"/>
        </w:rPr>
        <w:t xml:space="preserve">uptake-limited, not trafficking-limited</w:t>
      </w:r>
      <w:r>
        <w:rPr>
          <w:sz w:val="22"/>
          <w:szCs w:val="22"/>
        </w:rPr>
        <w:t xml:space="preserve"> — the rate at which drug enters the cell (k_uptake) and the rate at which it is degraded in lysosomes (k_deg) dominate the accumulation dynamics, while the intermediate trafficking rates are effectively transparent.</w:t>
      </w:r>
    </w:p>
    <w:p>
      <w:pPr>
        <w:pStyle w:val="Heading2"/>
        <w:spacing w:after="80" w:before="280"/>
      </w:pPr>
      <w:r>
        <w:t>3.3  K_m constraint and concentration sweep (v0.4)</w:t>
      </w:r>
    </w:p>
    <w:p>
      <w:pPr>
        <w:spacing w:after="160" w:before="0"/>
      </w:pPr>
      <w:r>
        <w:rPr>
          <w:b/>
          <w:bCs/>
          <w:sz w:val="22"/>
          <w:szCs w:val="22"/>
        </w:rPr>
        <w:t>Fit preservation: When the linear uptake approximation was replaced with full Michaelis-Menten kinetics, the model’s fit to the 34 µM calibration data was preserved for K_m ≥ 200 µM (within 15% of the linear prediction: K_m = 200 → −14.5%, K_m = 500 → −6.4%). K_m = 50 µM caused a 40% underprediction (−40.5%), ruling out low K_m values and retrospectively validating the linear approximation used in v0.2. This constraint is consistent with the qualitative observation that Jarzina’s LAMP-1/2 dose-response continues to increase steeply through concentrations of several hundred µM, indicating that uptake is not saturated in this range.</w:t>
      </w:r>
      <w:r>
        <w:rPr>
          <w:sz w:val="22"/>
          <w:szCs w:val="22"/>
        </w:rPr>
      </w:r>
    </w:p>
    <w:p>
      <w:pPr>
        <w:spacing w:after="160" w:before="0"/>
      </w:pPr>
      <w:r>
        <w:rPr>
          <w:b/>
          <w:bCs/>
          <w:sz w:val="22"/>
          <w:szCs w:val="22"/>
        </w:rPr>
        <w:t>Threshold crossing times and the implied injury threshold: The concentration sweep does not independently constrain the lysosomal load at which injury is initiated — the model has no injury term. What it can do is convert Jarzina’s observed onset timing into an implied lysosomal load. At 125 µM (where Jarzina observed lysosomal effects at 1–2 hours in time-resolved imaging), the v0.4 model reaches a lysosomal concentration of only ~65–275 nM over the 1–2 h window for K_m = 200 µM (~85–360 nM for K_m = 500 µM) — i.e. an implied KE1-onset threshold of order 10²–few × 10² nM, roughly 150–350 nM. An earlier (v0.3) version of this analysis reported a ~500 nM threshold, but that figure was not measured: it was the model’s C_ly at the observed onset time and was implicitly conditioned on the faster LE→lysosome fusion rate then assumed (k_fuse = 0.02 /min). With the ~2× slower, PT-measured rate from Shipman et al. (2022; k_fuse = 0.0094 /min), the same observed timing corresponds to a 2–3× lower lysosomal load. The inferred threshold is therefore model-dependent and should not be over-interpreted; pinning it down properly requires Jarzina’s own dose-response data (LAMP-1/2, cathepsin D, viability), as set out in Section 5.1. What is robust across the update is the K_m dependence: for a fixed reference load, the nominal crossing time at 125 µM is 2.4–2.8 h for K_m = 200–500 µM but 4.4 h for K_m = 50 µM, so low K_m values remain inconsistent with the observed rapid (1–2 h) onset regardless of where the exact threshold sits.</w:t>
      </w:r>
      <w:r>
        <w:rPr>
          <w:sz w:val="22"/>
          <w:szCs w:val="22"/>
        </w:rPr>
      </w:r>
    </w:p>
    <w:p>
      <w:pPr>
        <w:spacing w:after="160" w:before="0"/>
      </w:pPr>
      <w:r>
        <w:rPr>
          <w:b/>
          <w:bCs/>
          <w:sz w:val="22"/>
          <w:szCs w:val="22"/>
        </w:rPr>
        <w:t xml:space="preserve">Saturation behaviour:</w:t>
      </w:r>
      <w:r>
        <w:rPr>
          <w:sz w:val="22"/>
          <w:szCs w:val="22"/>
        </w:rPr>
        <w:t xml:space="preserve"> At doses above ~500 µM, the Michaelis-Menten model predicts diminishing returns — doubling the extracellular dose produces progressively less additional lysosomal accumulation. The degree of saturation depends on K_m: at K_m = 50, lysosomal load is nearly flat above 200 µM; at K_m = 500, near-linear scaling persists to ~500 µM. This has implications for dose-toxicity predictions: the relationship between dose and lysosomal load (and hence injury risk) is sub-linear at pharmacologically relevant concentrations.</w:t>
      </w:r>
    </w:p>
    <w:p>
      <w:pPr>
        <w:pBdr>
          <w:bottom w:val="single" w:color="CCCCCC" w:sz="6" w:space="4"/>
        </w:pBdr>
        <w:spacing w:after="160" w:before="160"/>
      </w:pPr>
    </w:p>
    <w:p>
      <w:pPr>
        <w:pStyle w:val="Heading1"/>
        <w:spacing w:after="120" w:before="360"/>
      </w:pPr>
      <w:r>
        <w:t xml:space="preserve">4. Discussion</w:t>
      </w:r>
    </w:p>
    <w:p>
      <w:pPr>
        <w:pStyle w:val="Heading2"/>
        <w:spacing w:after="80" w:before="280"/>
      </w:pPr>
      <w:r>
        <w:t xml:space="preserve">4.1  Novelty</w:t>
      </w:r>
    </w:p>
    <w:p>
      <w:pPr>
        <w:spacing w:after="160" w:before="0"/>
      </w:pPr>
      <w:r>
        <w:rPr>
          <w:sz w:val="22"/>
          <w:szCs w:val="22"/>
        </w:rPr>
        <w:t xml:space="preserve">To our knowledge, this is the first published compartmental ODE model of intracellular drug accumulation through the endolysosomal pathway in proximal tubule cells. While ODE models of endosomal trafficking exist for other systems — EGFR receptor turnover (Hebchen et al. 2025), LNP-siRNA delivery (Gilleron et al. 2013) — none have been applied to the nephrotoxicity context, and none have been calibrated against time-resolved intracellular drug concentration data in PT cell lines.</w:t>
      </w:r>
    </w:p>
    <w:p>
      <w:pPr>
        <w:pStyle w:val="Heading2"/>
        <w:spacing w:after="80" w:before="280"/>
      </w:pPr>
      <w:r>
        <w:t xml:space="preserve">4.2  Model simplicity and what it implies</w:t>
      </w:r>
    </w:p>
    <w:p>
      <w:pPr>
        <w:spacing w:after="160" w:before="0"/>
      </w:pPr>
      <w:r>
        <w:rPr>
          <w:sz w:val="22"/>
          <w:szCs w:val="22"/>
        </w:rPr>
        <w:t>A key methodological point concerns what the stress-test does and does not establish. Varying the fixed trafficking parameters leaves the fitted uptake and degradation rates largely unmoved — the cell-line uptake ratio is completely invariant (7.81 across all 20 cases), and k_fuse and k_esc change the fitted values by ≤1.1× over a 100-fold range. It is tempting to read this as “the details of endosomal sorting don’t matter,” but that conclusion holds only for the total intracellular concentration the model is calibrated against — the quantity the LC-MS/MS assay reports. It does not hold for the lysosomal load, which is the toxicity-relevant output the model exists to predict. Because the total pools the late-endosome and lysosome compartments, k_fuse merely redistributes drug between them and is nearly invisible to the fit; yet it directly sets the rate of lysosomal filling, so the same 100-fold variation swings the predicted time to reach a given lysosomal concentration by roughly 4× (and the ~2× k_fuse reduction adopted in v0.4 shifts the threshold timing by ~25%; Section 3.3). k_fuse is therefore transparent to the calibration but consequential for the prediction, and its uncertainty must be carried through any lysosomal-load or threshold-timing result. The other two parameters do move the fit: k_mat and k_rec compete at the early-endosome branch point — recycling is a genuine loss that uptake must offset — so the fitted uptake is coupled to them (3–5× over the tested range). In practical terms: (i) a reduced two-parameter model (uptake + degradation) reproduces the total-accumulation calibration, but (ii) the full compartment structure, with honest uncertainty on k_fuse in particular, is required for lysosomal-load predictions, and (iii) k_esc — negligible here — becomes central to the planned ON endosomal-escape/efficacy extension. A formal variance-based global sensitivity analysis (Sobol indices; Section 5.2) is planned for a later version to quantify these effects across all parameters simultaneously, rather than the present one-at-a-time stress-test.</w:t>
      </w:r>
    </w:p>
    <w:p>
      <w:pPr>
        <w:pStyle w:val="Heading2"/>
        <w:spacing w:after="80" w:before="280"/>
      </w:pPr>
      <w:r>
        <w:t xml:space="preserve">4.3  Species differences</w:t>
      </w:r>
    </w:p>
    <w:p>
      <w:pPr>
        <w:spacing w:after="160" w:before="0"/>
      </w:pPr>
      <w:r>
        <w:rPr>
          <w:sz w:val="22"/>
          <w:szCs w:val="22"/>
        </w:rPr>
        <w:t xml:space="preserve">The NRK-52E washout discrepancy raises an important question about species translation. If the faster washout in rat cells reflects a genuine species difference in lysosomal degradation rate, this could contribute to the known overprediction of renal effects in preclinical animal studies relative to humans (Henry et al. 2008). A higher k_deg in rat PT cells would mean faster lysosomal clearance, potentially lower peak lysosomal loads, and a different threshold-crossing profile compared to human cells. This would be directly relevant to GSK’s interest in preclinical-to-clinical translation of nephrotoxicity predictions.</w:t>
      </w:r>
    </w:p>
    <w:p>
      <w:pPr>
        <w:pStyle w:val="Heading2"/>
        <w:spacing w:after="80" w:before="280"/>
      </w:pPr>
      <w:r>
        <w:t xml:space="preserve">4.4  Limitations</w:t>
      </w:r>
    </w:p>
    <w:p>
      <w:pPr>
        <w:pStyle w:val="ListParagraph"/>
        <w:numPr>
          <w:ilvl w:val="0"/>
          <w:numId w:val="1"/>
        </w:numPr>
        <w:spacing w:after="40" w:before="40"/>
      </w:pPr>
      <w:r>
        <w:rPr>
          <w:b/>
          <w:bCs/>
          <w:sz w:val="22"/>
          <w:szCs w:val="22"/>
        </w:rPr>
        <w:t xml:space="preserve">Single-concentration calibration.</w:t>
      </w:r>
      <w:r>
        <w:rPr>
          <w:sz w:val="22"/>
          <w:szCs w:val="22"/>
        </w:rPr>
        <w:t xml:space="preserve"> The model is fitted at 34 µM only. V_max and K_m are not separately identifiable; K_m is constrained to ≥200 µM but not precisely determined. Multi-concentration uptake time-course data would resolve this.</w:t>
      </w:r>
    </w:p>
    <w:p>
      <w:pPr>
        <w:pStyle w:val="ListParagraph"/>
        <w:numPr>
          <w:ilvl w:val="0"/>
          <w:numId w:val="1"/>
        </w:numPr>
        <w:spacing w:after="40" w:before="40"/>
      </w:pPr>
      <w:r>
        <w:rPr>
          <w:b/>
          <w:bCs/>
          <w:sz w:val="22"/>
          <w:szCs w:val="22"/>
        </w:rPr>
        <w:t xml:space="preserve">Calibrated on polymyxin B, not ONs.</w:t>
      </w:r>
      <w:r>
        <w:rPr>
          <w:sz w:val="22"/>
          <w:szCs w:val="22"/>
        </w:rPr>
        <w:t xml:space="preserve"> The model structure should transfer (same uptake pathway), but parameter values — particularly K_m (ON-megalin binding affinity) and k_deg (PS backbone nuclease resistance) — will differ for ONs. PS-ASOs are expected to have substantially lower k_deg (tissue half-lives of weeks vs hours).</w:t>
      </w:r>
    </w:p>
    <w:p>
      <w:pPr>
        <w:pStyle w:val="ListParagraph"/>
        <w:numPr>
          <w:ilvl w:val="0"/>
          <w:numId w:val="1"/>
        </w:numPr>
        <w:spacing w:after="40" w:before="40"/>
      </w:pPr>
      <w:r>
        <w:rPr>
          <w:b/>
          <w:bCs/>
          <w:sz w:val="22"/>
          <w:szCs w:val="22"/>
        </w:rPr>
        <w:t xml:space="preserve">No injury coupling.</w:t>
      </w:r>
      <w:r>
        <w:rPr>
          <w:sz w:val="22"/>
          <w:szCs w:val="22"/>
        </w:rPr>
        <w:t xml:space="preserve"> The model predicts lysosomal load but does not model the downstream toxicity cascade. Coupling to a cell population model is planned.</w:t>
      </w:r>
    </w:p>
    <w:p>
      <w:pPr>
        <w:pStyle w:val="ListParagraph"/>
        <w:numPr>
          <w:ilvl w:val="0"/>
          <w:numId w:val="1"/>
        </w:numPr>
        <w:spacing w:after="40" w:before="40"/>
      </w:pPr>
      <w:r>
        <w:rPr>
          <w:b/>
          <w:bCs/>
          <w:sz w:val="22"/>
          <w:szCs w:val="22"/>
        </w:rPr>
        <w:t>Trafficking parameters now largely PT-specific, but still cross-species. In v0.4 the maturation and fusion rate constants (k_mat, k_fuse) are taken from Shipman et al.’s (2022) physiological model of megalin trafficking in opossum kidney (OK) proximal-tubule cells — a much closer source than the earlier generic Rab-conversion timescales, though still a non-human PT line. The recycling rate (k_rec) is not directly transferable (cargo recycling differs from receptor recycling) and is treated as an uncertainty band (0.02–0.046 /min). The stress-test demonstrates robustness to the residual uncertainty, and human PT-specific measurements would strengthen the model further.</w:t>
      </w:r>
      <w:r>
        <w:rPr>
          <w:sz w:val="22"/>
          <w:szCs w:val="22"/>
        </w:rPr>
      </w:r>
    </w:p>
    <w:p>
      <w:pPr>
        <w:pStyle w:val="ListParagraph"/>
        <w:numPr>
          <w:ilvl w:val="0"/>
          <w:numId w:val="1"/>
        </w:numPr>
        <w:spacing w:after="40" w:before="40"/>
      </w:pPr>
      <w:r>
        <w:rPr>
          <w:b/>
          <w:bCs/>
          <w:sz w:val="22"/>
          <w:szCs w:val="22"/>
        </w:rPr>
        <w:t xml:space="preserve">No feedback mechanisms.</w:t>
      </w:r>
      <w:r>
        <w:rPr>
          <w:sz w:val="22"/>
          <w:szCs w:val="22"/>
        </w:rPr>
        <w:t xml:space="preserve"> Lysosomal overload can impair endocytic recycling (Janssen et al. 2019), creating a negative feedback on uptake at high lysosomal loads. This is not included in the current model.</w:t>
      </w:r>
    </w:p>
    <w:p>
      <w:pPr>
        <w:pStyle w:val="ListParagraph"/>
        <w:numPr>
          <w:ilvl w:val="0"/>
          <w:numId w:val="1"/>
        </w:numPr>
        <w:spacing w:after="40" w:before="40"/>
      </w:pPr>
      <w:r>
        <w:rPr>
          <w:b/>
          <w:bCs/>
          <w:sz w:val="22"/>
          <w:szCs w:val="22"/>
        </w:rPr>
        <w:t xml:space="preserve">Single-cell model.</w:t>
      </w:r>
      <w:r>
        <w:rPr>
          <w:sz w:val="22"/>
          <w:szCs w:val="22"/>
        </w:rPr>
        <w:t xml:space="preserve"> The model represents one “average” cell and does not account for heterogeneity in receptor expression, cell size, or trafficking kinetics across the PT cell population.</w:t>
      </w:r>
    </w:p>
    <w:p>
      <w:pPr>
        <w:spacing w:after="80" w:before="0"/>
      </w:pPr>
    </w:p>
    <w:p>
      <w:pPr>
        <w:pBdr>
          <w:bottom w:val="single" w:color="CCCCCC" w:sz="6" w:space="4"/>
        </w:pBdr>
        <w:spacing w:after="160" w:before="160"/>
      </w:pPr>
    </w:p>
    <w:p>
      <w:pPr>
        <w:pStyle w:val="Heading1"/>
        <w:spacing w:after="120" w:before="360"/>
      </w:pPr>
      <w:r>
        <w:t xml:space="preserve">5. Future directions</w:t>
      </w:r>
    </w:p>
    <w:p>
      <w:pPr>
        <w:pStyle w:val="Heading2"/>
        <w:spacing w:after="80" w:before="280"/>
      </w:pPr>
      <w:r>
        <w:t xml:space="preserve">5.1  Immediate next steps</w:t>
      </w:r>
    </w:p>
    <w:p>
      <w:pPr>
        <w:pStyle w:val="ListParagraph"/>
        <w:numPr>
          <w:ilvl w:val="0"/>
          <w:numId w:val="1"/>
        </w:numPr>
        <w:spacing w:after="40" w:before="40"/>
      </w:pPr>
      <w:r>
        <w:rPr>
          <w:b/>
          <w:bCs/>
          <w:sz w:val="22"/>
          <w:szCs w:val="22"/>
        </w:rPr>
        <w:t xml:space="preserve">Additional calibration data.</w:t>
      </w:r>
      <w:r>
        <w:rPr>
          <w:sz w:val="22"/>
          <w:szCs w:val="22"/>
        </w:rPr>
        <w:t xml:space="preserve"> Search for multi-concentration uptake time-course data for polymyxin B or mechanistically analogous nephrotoxicants (aminoglycosides, vancomycin) in PT cell lines, to constrain K_m independently.</w:t>
      </w:r>
    </w:p>
    <w:p>
      <w:pPr>
        <w:pStyle w:val="ListParagraph"/>
        <w:numPr>
          <w:ilvl w:val="0"/>
          <w:numId w:val="1"/>
        </w:numPr>
        <w:spacing w:after="40" w:before="40"/>
      </w:pPr>
      <w:r>
        <w:rPr>
          <w:b/>
          <w:bCs/>
          <w:sz w:val="22"/>
          <w:szCs w:val="22"/>
        </w:rPr>
        <w:t xml:space="preserve">ON-specific parameterisation.</w:t>
      </w:r>
      <w:r>
        <w:rPr>
          <w:sz w:val="22"/>
          <w:szCs w:val="22"/>
        </w:rPr>
        <w:t xml:space="preserve"> Replace k_uptake and k_deg with values appropriate for PS-ASOs and validate qualitatively against known ON accumulation biology (dose-dependent basophilic granules, tissue half-lives of 2–4 weeks for 2’-MOE ASOs).</w:t>
      </w:r>
    </w:p>
    <w:p>
      <w:pPr>
        <w:pStyle w:val="ListParagraph"/>
        <w:numPr>
          <w:ilvl w:val="0"/>
          <w:numId w:val="1"/>
        </w:numPr>
        <w:spacing w:after="40" w:before="40"/>
      </w:pPr>
      <w:r>
        <w:rPr>
          <w:b/>
          <w:bCs/>
          <w:sz w:val="22"/>
          <w:szCs w:val="22"/>
        </w:rPr>
        <w:t xml:space="preserve">Injury threshold calibration.</w:t>
      </w:r>
      <w:r>
        <w:rPr>
          <w:sz w:val="22"/>
          <w:szCs w:val="22"/>
        </w:rPr>
        <w:t xml:space="preserve"> Use Jarzina’s dose-response data (LAMP-1/2, cathepsin D, cell viability) to formally estimate the lysosomal concentration threshold for KE1 onset.</w:t>
      </w:r>
    </w:p>
    <w:p>
      <w:pPr>
        <w:pStyle w:val="Heading2"/>
        <w:spacing w:after="80" w:before="280"/>
      </w:pPr>
      <w:r>
        <w:t xml:space="preserve">5.2  Model extensions</w:t>
      </w:r>
    </w:p>
    <w:p>
      <w:pPr>
        <w:pStyle w:val="ListParagraph"/>
        <w:numPr>
          <w:ilvl w:val="0"/>
          <w:numId w:val="1"/>
        </w:numPr>
        <w:spacing w:after="40" w:before="40"/>
      </w:pPr>
      <w:r>
        <w:rPr>
          <w:b/>
          <w:bCs/>
          <w:sz w:val="22"/>
          <w:szCs w:val="22"/>
        </w:rPr>
        <w:t xml:space="preserve">Layer 2 coupling:</w:t>
      </w:r>
      <w:r>
        <w:rPr>
          <w:sz w:val="22"/>
          <w:szCs w:val="22"/>
        </w:rPr>
        <w:t xml:space="preserve"> Connect lysosomal load to a Gebremichael-style cell population model (healthy → injured → dead) to predict biomarker time-courses and organ-level functional changes.</w:t>
      </w:r>
    </w:p>
    <w:p>
      <w:pPr>
        <w:pStyle w:val="ListParagraph"/>
        <w:numPr>
          <w:ilvl w:val="0"/>
          <w:numId w:val="1"/>
        </w:numPr>
        <w:spacing w:after="40" w:before="40"/>
      </w:pPr>
      <w:r>
        <w:rPr>
          <w:b/>
          <w:bCs/>
          <w:sz w:val="22"/>
          <w:szCs w:val="22"/>
        </w:rPr>
        <w:t xml:space="preserve">Layer 3 embedding:</w:t>
      </w:r>
      <w:r>
        <w:rPr>
          <w:sz w:val="22"/>
          <w:szCs w:val="22"/>
        </w:rPr>
        <w:t xml:space="preserve"> Replace the single-box PTC compartment in the Hallow PBPK model with this intracellular model, enabling dose-to-biomarker predictions from first principles.</w:t>
      </w:r>
    </w:p>
    <w:p>
      <w:pPr>
        <w:pStyle w:val="ListParagraph"/>
        <w:numPr>
          <w:ilvl w:val="0"/>
          <w:numId w:val="1"/>
        </w:numPr>
        <w:spacing w:after="40" w:before="40"/>
      </w:pPr>
      <w:r>
        <w:rPr>
          <w:b/>
          <w:bCs/>
          <w:sz w:val="22"/>
          <w:szCs w:val="22"/>
        </w:rPr>
        <w:t xml:space="preserve">Chemistry-dependent parameterisation:</w:t>
      </w:r>
      <w:r>
        <w:rPr>
          <w:sz w:val="22"/>
          <w:szCs w:val="22"/>
        </w:rPr>
        <w:t xml:space="preserve"> Systematically vary k_deg and K_m to predict how ON backbone chemistry (PS vs PO), sugar modifications (2’-MOE, LNA, cEt), and conjugation (GalNAc) alter accumulation dynamics and injury risk.</w:t>
      </w:r>
    </w:p>
    <w:p>
      <w:pPr>
        <w:pStyle w:val="ListParagraph"/>
        <w:numPr>
          <w:ilvl w:val="0"/>
          <w:numId w:val="1"/>
        </w:numPr>
        <w:spacing w:after="40" w:before="40"/>
      </w:pPr>
      <w:r>
        <w:rPr>
          <w:b/>
          <w:bCs/>
          <w:sz w:val="22"/>
          <w:szCs w:val="22"/>
        </w:rPr>
        <w:t xml:space="preserve">Feedback mechanisms:</w:t>
      </w:r>
      <w:r>
        <w:rPr>
          <w:sz w:val="22"/>
          <w:szCs w:val="22"/>
        </w:rPr>
        <w:t xml:space="preserve"> Incorporate negative feedback from lysosomal load on endocytic capacity, and potentially macropinocytosis as a parallel non-saturable uptake pathway.</w:t>
      </w:r>
    </w:p>
    <w:p>
      <w:pPr>
        <w:pStyle w:val="ListParagraph"/>
        <w:numPr>
          <w:ilvl w:val="0"/>
          <w:numId w:val="1"/>
        </w:numPr>
        <w:spacing w:after="40" w:before="40"/>
      </w:pPr>
      <w:r>
        <w:rPr>
          <w:b/>
          <w:bCs/>
          <w:sz w:val="22"/>
          <w:szCs w:val="22"/>
        </w:rPr>
        <w:t xml:space="preserve">Global sensitivity analysis</w:t>
      </w:r>
      <w:r>
        <w:rPr>
          <w:sz w:val="22"/>
          <w:szCs w:val="22"/>
        </w:rPr>
        <w:t xml:space="preserve"> with physiologically informed parameter ranges, including K_m uncertainty, using variance-based methods (Sobol indices).</w:t>
      </w:r>
    </w:p>
    <w:p>
      <w:pPr>
        <w:spacing w:after="80" w:before="0"/>
      </w:pPr>
    </w:p>
    <w:p>
      <w:pPr>
        <w:pBdr>
          <w:bottom w:val="single" w:color="CCCCCC" w:sz="6" w:space="4"/>
        </w:pBdr>
        <w:spacing w:after="160" w:before="160"/>
      </w:pPr>
    </w:p>
    <w:p>
      <w:pPr>
        <w:pStyle w:val="Heading1"/>
        <w:spacing w:after="120" w:before="360"/>
      </w:pPr>
      <w:r>
        <w:t xml:space="preserve">6. References</w:t>
      </w:r>
    </w:p>
    <w:p>
      <w:pPr>
        <w:spacing w:after="60" w:before="60"/>
        <w:ind w:left="431" w:hanging="431"/>
      </w:pPr>
      <w:r>
        <w:rPr>
          <w:sz w:val="20"/>
          <w:szCs w:val="20"/>
        </w:rPr>
        <w:t xml:space="preserve">Bartlett DW, Davis ME (2007). Insights into the kinetics of siRNA-mediated gene silencing from live-cell and live-animal bioluminescent imaging. Nucleic Acids Research 34:322–333.</w:t>
      </w:r>
    </w:p>
    <w:p>
      <w:pPr>
        <w:spacing w:after="60" w:before="60"/>
        <w:ind w:left="431" w:hanging="431"/>
      </w:pPr>
      <w:r>
        <w:rPr>
          <w:sz w:val="20"/>
          <w:szCs w:val="20"/>
        </w:rPr>
        <w:t xml:space="preserve">Bouchene S, et al. (2018). A whole-body physiologically based pharmacokinetic model for colistin and colistin methanesulfonate in rat. Basic &amp; Clinical Pharmacology &amp; Toxicology 123(4):407–422.</w:t>
      </w:r>
    </w:p>
    <w:p>
      <w:pPr>
        <w:spacing w:after="60" w:before="60"/>
        <w:ind w:left="431" w:hanging="431"/>
      </w:pPr>
      <w:r>
        <w:rPr>
          <w:sz w:val="20"/>
          <w:szCs w:val="20"/>
        </w:rPr>
        <w:t xml:space="preserve">Crooke ST, Vickers TA, Liang XH (2020). Phosphorothioate modified oligonucleotide-protein interactions. Nucleic Acids Research 48(10):5235–5253.</w:t>
      </w:r>
    </w:p>
    <w:p>
      <w:pPr>
        <w:spacing w:after="60" w:before="60"/>
        <w:ind w:left="431" w:hanging="431"/>
      </w:pPr>
      <w:r>
        <w:rPr>
          <w:sz w:val="20"/>
          <w:szCs w:val="20"/>
        </w:rPr>
        <w:t xml:space="preserve">Gebremichael Y, et al. (2018). Multiscale mathematical model of drug-induced proximal tubule injury: linking urinary biomarkers to epithelial cell injury and renal dysfunction. Toxicological Sciences 162(1):200–211.</w:t>
      </w:r>
    </w:p>
    <w:p>
      <w:pPr>
        <w:spacing w:after="60" w:before="60"/>
        <w:ind w:left="431" w:hanging="431"/>
      </w:pPr>
      <w:r>
        <w:rPr>
          <w:sz w:val="20"/>
          <w:szCs w:val="20"/>
        </w:rPr>
        <w:t xml:space="preserve">Gilleron J, et al. (2013). Image-based analysis of lipid nanoparticle-mediated siRNA delivery, intracellular trafficking and endosomal escape. Nature Biotechnology 31:638–646.</w:t>
      </w:r>
    </w:p>
    <w:p>
      <w:pPr>
        <w:spacing w:after="60" w:before="60"/>
        <w:ind w:left="431" w:hanging="431"/>
      </w:pPr>
      <w:r>
        <w:rPr>
          <w:sz w:val="20"/>
          <w:szCs w:val="20"/>
        </w:rPr>
        <w:t xml:space="preserve">Hallow KM, Gebremichael Y (2017). A quantitative systems physiology model of renal function and blood pressure regulation.</w:t>
      </w:r>
    </w:p>
    <w:p>
      <w:pPr>
        <w:spacing w:after="60" w:before="60"/>
        <w:ind w:left="431" w:hanging="431"/>
      </w:pPr>
      <w:r>
        <w:rPr>
          <w:sz w:val="20"/>
          <w:szCs w:val="20"/>
        </w:rPr>
        <w:t xml:space="preserve">Hebchen M, et al. (2025). NoxO1 promotes endosome formation and reduces intracellular vesicle processing. Redox Biology 89:103973.</w:t>
      </w:r>
    </w:p>
    <w:p>
      <w:pPr>
        <w:spacing w:after="60" w:before="60"/>
        <w:ind w:left="431" w:hanging="431"/>
      </w:pPr>
      <w:r>
        <w:rPr>
          <w:sz w:val="20"/>
          <w:szCs w:val="20"/>
        </w:rPr>
        <w:t xml:space="preserve">Henry SP, et al. (2008). Evaluation of the toxicity of ISIS 2302, a phosphorothioate oligonucleotide, in a 4-week study in CD-1 mice. Antisense Drug Technology, CRC Press, pp. 327–364.</w:t>
      </w:r>
    </w:p>
    <w:p>
      <w:pPr>
        <w:spacing w:after="60" w:before="60"/>
        <w:ind w:left="431" w:hanging="431"/>
      </w:pPr>
      <w:r>
        <w:rPr>
          <w:sz w:val="20"/>
          <w:szCs w:val="20"/>
        </w:rPr>
        <w:t xml:space="preserve">Janssen MJ, et al. (2019). Therapy with 2’-O-Me phosphorothioate antisense oligonucleotides causes reversible proteinuria by inhibiting renal protein reabsorption. Molecular Therapy Nucleic Acids 18:298–307.</w:t>
      </w:r>
    </w:p>
    <w:p>
      <w:pPr>
        <w:spacing w:after="60" w:before="60"/>
        <w:ind w:left="431" w:hanging="431"/>
      </w:pPr>
      <w:r>
        <w:rPr>
          <w:sz w:val="20"/>
          <w:szCs w:val="20"/>
        </w:rPr>
        <w:t xml:space="preserve">Jarzina S, et al. (2022). Application of the adverse outcome pathway concept to in vitro nephrotoxicity assessment: kidney injury due to receptor-mediated endocytosis and lysosomal overload as a case study. Frontiers in Toxicology 4:864441.</w:t>
      </w:r>
    </w:p>
    <w:p>
      <w:pPr>
        <w:spacing w:after="60" w:before="60"/>
        <w:ind w:left="431" w:hanging="431"/>
      </w:pPr>
      <w:r>
        <w:rPr>
          <w:sz w:val="20"/>
          <w:szCs w:val="20"/>
        </w:rPr>
        <w:t xml:space="preserve">Juliano RL (2018). Intracellular trafficking and endosomal release of oligonucleotides: what we know and what we don’t. Nucleic Acid Therapeutics 28(3):166–177.</w:t>
      </w:r>
    </w:p>
    <w:p>
      <w:pPr>
        <w:spacing w:after="60" w:before="60"/>
        <w:ind w:left="431" w:hanging="431"/>
      </w:pPr>
      <w:r>
        <w:rPr>
          <w:sz w:val="20"/>
          <w:szCs w:val="20"/>
        </w:rPr>
        <w:t xml:space="preserve">Lauffenburger DA, Linderman JJ (1993). Receptors: Models for Binding, Trafficking, and Signaling. Oxford University Press.</w:t>
      </w:r>
    </w:p>
    <w:p>
      <w:pPr>
        <w:spacing w:after="60" w:before="60"/>
        <w:ind w:left="431" w:hanging="431"/>
      </w:pPr>
      <w:r>
        <w:rPr>
          <w:sz w:val="20"/>
          <w:szCs w:val="20"/>
        </w:rPr>
        <w:t xml:space="preserve">Luzio JP, Pryor PR, Bright NA (2007). Lysosomes: fusion and function. Nature Reviews Molecular Cell Biology 8:622–632.</w:t>
      </w:r>
    </w:p>
    <w:p>
      <w:pPr>
        <w:spacing w:after="60" w:before="60"/>
        <w:ind w:left="431" w:hanging="431"/>
      </w:pPr>
      <w:r>
        <w:rPr>
          <w:sz w:val="20"/>
          <w:szCs w:val="20"/>
        </w:rPr>
        <w:t xml:space="preserve">Rink J, et al. (2005). Rab conversion as a mechanism of progression from early to late endosomes. Cell 122(5):735–749.</w:t>
      </w:r>
    </w:p>
    <w:p>
      <w:pPr>
        <w:spacing w:after="60" w:before="60"/>
        <w:ind w:left="431" w:hanging="431"/>
      </w:pPr>
      <w:r>
        <w:rPr>
          <w:sz w:val="20"/>
          <w:szCs w:val="20"/>
        </w:rPr>
        <w:t xml:space="preserve">Scott CC, Vacca F, Gruenberg J (2014). Endosome maturation, transport and functions. Seminars in Cell &amp; Developmental Biology 31:2–10.</w:t>
      </w:r>
    </w:p>
    <w:p>
      <w:pPr/>
      <w:r>
        <w:t>Shipman KE, Long KR, Cowan IA, Rbaibi Y, Baty CJ, Weisz OA (2022). An Adaptable Physiological Model of Endocytic Megalin Trafficking in Opossum Kidney Cells and Mouse Kidney Proximal Tubule. Function 3(6):zqac046. doi:10.1093/function/zqac046.</w:t>
      </w:r>
    </w:p>
    <w:sectPr>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b/>
      <w:bCs/>
      <w:color w:val="1F3864"/>
      <w:sz w:val="28"/>
      <w:szCs w:val="28"/>
    </w:rPr>
  </w:style>
  <w:style w:type="paragraph" w:styleId="Heading2">
    <w:name w:val="Heading 2"/>
    <w:basedOn w:val="Normal"/>
    <w:next w:val="Normal"/>
    <w:qFormat/>
    <w:pPr>
      <w:spacing w:after="80" w:before="280"/>
      <w:outlineLvl w:val="1"/>
    </w:pPr>
    <w:rPr>
      <w:b/>
      <w:bCs/>
      <w:color w:val="2E5F8A"/>
      <w:sz w:val="24"/>
      <w:szCs w:val="24"/>
    </w:rPr>
  </w:style>
  <w:style w:type="paragraph" w:styleId="Heading3">
    <w:name w:val="Heading 3"/>
    <w:basedOn w:val="Normal"/>
    <w:next w:val="Normal"/>
    <w:qFormat/>
    <w:pPr>
      <w:spacing w:after="60" w:before="200"/>
      <w:outlineLvl w:val="2"/>
    </w:pPr>
    <w:rPr>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2026-07-02T23:48:12.223Z</dcterms:created>
  <dcterms:modified xsi:type="dcterms:W3CDTF">2026-07-02T23:48:12.238Z</dcterms:modified>
</cp:coreProperties>
</file>

<file path=docProps/custom.xml><?xml version="1.0" encoding="utf-8"?>
<Properties xmlns="http://schemas.openxmlformats.org/officeDocument/2006/custom-properties" xmlns:vt="http://schemas.openxmlformats.org/officeDocument/2006/docPropsVTypes"/>
</file>