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SENATE</w:t>
      </w:r>
    </w:p>
    <w:p>
      <w:pPr>
        <w:pStyle w:val="Heading2"/>
      </w:pPr>
      <w:r>
        <w:t>Paper S/1053/NN (DRAFT, not yet submitted)</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Title</w:t>
            </w:r>
          </w:p>
        </w:tc>
        <w:tc>
          <w:tcPr>
            <w:tcW w:type="dxa" w:w="4320"/>
          </w:tcPr>
          <w:p>
            <w:r>
              <w:rPr/>
              <w:t>Admissions: competitor activity and conversion, 1053 entry</w:t>
            </w:r>
          </w:p>
        </w:tc>
      </w:tr>
      <w:tr>
        <w:tc>
          <w:tcPr>
            <w:tcW w:type="dxa" w:w="4320"/>
          </w:tcPr>
          <w:p>
            <w:r>
              <w:rPr>
                <w:b/>
              </w:rPr>
              <w:t>Author</w:t>
            </w:r>
          </w:p>
        </w:tc>
        <w:tc>
          <w:tcPr>
            <w:tcW w:type="dxa" w:w="4320"/>
          </w:tcPr>
          <w:p>
            <w:r>
              <w:rPr/>
              <w:t>Mira Dealroot, Head of Admissions</w:t>
            </w:r>
          </w:p>
        </w:tc>
      </w:tr>
      <w:tr>
        <w:tc>
          <w:tcPr>
            <w:tcW w:type="dxa" w:w="4320"/>
          </w:tcPr>
          <w:p>
            <w:r>
              <w:rPr>
                <w:b/>
              </w:rPr>
              <w:t>Purpose</w:t>
            </w:r>
          </w:p>
        </w:tc>
        <w:tc>
          <w:tcPr>
            <w:tcW w:type="dxa" w:w="4320"/>
          </w:tcPr>
          <w:p>
            <w:r>
              <w:rPr/>
              <w:t>To note</w:t>
            </w:r>
          </w:p>
        </w:tc>
      </w:tr>
      <w:tr>
        <w:tc>
          <w:tcPr>
            <w:tcW w:type="dxa" w:w="4320"/>
          </w:tcPr>
          <w:p>
            <w:r>
              <w:rPr>
                <w:b/>
              </w:rPr>
              <w:t>Classification</w:t>
            </w:r>
          </w:p>
        </w:tc>
        <w:tc>
          <w:tcPr>
            <w:tcW w:type="dxa" w:w="4320"/>
          </w:tcPr>
          <w:p>
            <w:r>
              <w:rPr/>
              <w:t>Internal</w:t>
            </w:r>
          </w:p>
        </w:tc>
      </w:tr>
      <w:tr>
        <w:tc>
          <w:tcPr>
            <w:tcW w:type="dxa" w:w="4320"/>
          </w:tcPr>
          <w:p>
            <w:r>
              <w:rPr>
                <w:b/>
              </w:rPr>
              <w:t>AI tools used?</w:t>
            </w:r>
          </w:p>
        </w:tc>
        <w:tc>
          <w:tcPr>
            <w:tcW w:type="dxa" w:w="4320"/>
          </w:tcPr>
          <w:p>
            <w:r>
              <w:rPr/>
              <w:t>No</w:t>
            </w:r>
          </w:p>
        </w:tc>
      </w:tr>
    </w:tbl>
    <w:p>
      <w:pPr>
        <w:pStyle w:val="Heading3"/>
      </w:pPr>
      <w:r>
        <w:t>Summary</w:t>
      </w:r>
    </w:p>
    <w:p>
      <w:r>
        <w:rPr/>
        <w:t>Applications and offers for 1053 entry are ahead of last year. Firm acceptances are behind. The principal factor is competitor activity: Elder Grove University announced targeted bursaries for applicants from the Flint, Alabaster and Sandstone clans in February 1053, which are the clans from which Stonegrove's Faculty of Health and Education draws a large share of its applicants. Several applicants have cited the bursaries when declining. Senate is asked to note the position and to consider whether the University should respond.</w:t>
      </w:r>
    </w:p>
    <w:p>
      <w:pPr>
        <w:pStyle w:val="Heading3"/>
      </w:pPr>
      <w:r>
        <w:t>1. Figures</w:t>
      </w:r>
    </w:p>
    <w:p>
      <w:r>
        <w:rPr/>
        <w:t>At 5 March 1053: offers up 9% on the same date last year; firm acceptances down 6%. Planning and Insight are preparing a breakdown by species.</w:t>
      </w:r>
    </w:p>
    <w:p>
      <w:pPr>
        <w:pStyle w:val="Heading3"/>
      </w:pPr>
      <w:r>
        <w:t>2. Competitor activity</w:t>
      </w:r>
    </w:p>
    <w:p>
      <w:r>
        <w:rPr/>
        <w:t>Elder Grove's bursary scheme offers a cash bursary in each year of study to applicants from the three clans named above who meet a contextual criterion. Three applicants holding Stonegrove offers have declined in the week since the announcement and two cited the bursary.</w:t>
      </w:r>
    </w:p>
    <w:p>
      <w:pPr>
        <w:pStyle w:val="Heading3"/>
      </w:pPr>
      <w:r>
        <w:t>3. Options</w:t>
      </w:r>
    </w:p>
    <w:p>
      <w:r>
        <w:rPr/>
        <w:t>(a) No response; monitor. (b) Extend the University's existing first-generation bursary to a contextual bursary open to all clans. (c) A targeted response matching Elder Grove's.</w:t>
      </w:r>
    </w:p>
    <w:p>
      <w:pPr>
        <w:pStyle w:val="Heading3"/>
      </w:pPr>
      <w:r>
        <w:t>4. Recommendation</w:t>
      </w:r>
    </w:p>
    <w:p>
      <w:r>
        <w:rPr>
          <w:i/>
        </w:rPr>
        <w:t>Note to self: Quorin says three is three. Hold until his species figures are in. Also the Dean's paper says turnaround and this says bursaries and if Gudrik puts them in the same pack it'll look odd. Maybe one paper. 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Conversion paper for Senate DRAFT</dc:title>
  <dc:subject/>
  <dc:creator>Mira Dealroot</dc:creator>
  <cp:keywords/>
  <dc:description>generated by python-docx</dc:description>
  <cp:lastModifiedBy>Mira Dealroot</cp:lastModifiedBy>
  <cp:revision>1</cp:revision>
  <dcterms:created xsi:type="dcterms:W3CDTF">2026-03-10T10:30:00Z</dcterms:created>
  <dcterms:modified xsi:type="dcterms:W3CDTF">2026-03-17T10:30:00Z</dcterms:modified>
  <cp:category>Internal</cp:category>
</cp:coreProperties>
</file>