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Programme Specification</w:t>
      </w:r>
    </w:p>
    <w:p>
      <w:pPr>
        <w:pStyle w:val="Heading2"/>
      </w:pPr>
      <w:r>
        <w:t>Occupational Therapy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/>
              <w:t>Awarding body</w:t>
            </w:r>
          </w:p>
        </w:tc>
        <w:tc>
          <w:tcPr>
            <w:tcW w:type="dxa" w:w="4320"/>
          </w:tcPr>
          <w:p>
            <w:r>
              <w:rPr/>
              <w:t>Stonegrove University</w:t>
            </w:r>
          </w:p>
        </w:tc>
      </w:tr>
      <w:tr>
        <w:tc>
          <w:tcPr>
            <w:tcW w:type="dxa" w:w="4320"/>
          </w:tcPr>
          <w:p>
            <w:r>
              <w:rPr/>
              <w:t>Faculty</w:t>
            </w:r>
          </w:p>
        </w:tc>
        <w:tc>
          <w:tcPr>
            <w:tcW w:type="dxa" w:w="4320"/>
          </w:tcPr>
          <w:p>
            <w:r>
              <w:rPr/>
              <w:t>Faculty of Health and Education</w:t>
            </w:r>
          </w:p>
        </w:tc>
      </w:tr>
      <w:tr>
        <w:tc>
          <w:tcPr>
            <w:tcW w:type="dxa" w:w="4320"/>
          </w:tcPr>
          <w:p>
            <w:r>
              <w:rPr/>
              <w:t>Department</w:t>
            </w:r>
          </w:p>
        </w:tc>
        <w:tc>
          <w:tcPr>
            <w:tcW w:type="dxa" w:w="4320"/>
          </w:tcPr>
          <w:p>
            <w:r>
              <w:rPr/>
              <w:t>Department of Health</w:t>
            </w:r>
          </w:p>
        </w:tc>
      </w:tr>
      <w:tr>
        <w:tc>
          <w:tcPr>
            <w:tcW w:type="dxa" w:w="4320"/>
          </w:tcPr>
          <w:p>
            <w:r>
              <w:rPr/>
              <w:t>Final award</w:t>
            </w:r>
          </w:p>
        </w:tc>
        <w:tc>
          <w:tcPr>
            <w:tcW w:type="dxa" w:w="4320"/>
          </w:tcPr>
          <w:p>
            <w:r>
              <w:rPr/>
              <w:t>Bachelor of Science with Honours in Occupational Therapy</w:t>
            </w:r>
          </w:p>
        </w:tc>
      </w:tr>
      <w:tr>
        <w:tc>
          <w:tcPr>
            <w:tcW w:type="dxa" w:w="4320"/>
          </w:tcPr>
          <w:p>
            <w:r>
              <w:rPr/>
              <w:t>Mode and duration</w:t>
            </w:r>
          </w:p>
        </w:tc>
        <w:tc>
          <w:tcPr>
            <w:tcW w:type="dxa" w:w="4320"/>
          </w:tcPr>
          <w:p>
            <w:r>
              <w:rPr/>
              <w:t>Full time, three years</w:t>
            </w:r>
          </w:p>
        </w:tc>
      </w:tr>
      <w:tr>
        <w:tc>
          <w:tcPr>
            <w:tcW w:type="dxa" w:w="4320"/>
          </w:tcPr>
          <w:p>
            <w:r>
              <w:rPr/>
              <w:t>Programme leader</w:t>
            </w:r>
          </w:p>
        </w:tc>
        <w:tc>
          <w:tcPr>
            <w:tcW w:type="dxa" w:w="4320"/>
          </w:tcPr>
          <w:p>
            <w:r>
              <w:rPr/>
              <w:t>Dr Caerel Candletome</w:t>
            </w:r>
          </w:p>
        </w:tc>
      </w:tr>
      <w:tr>
        <w:tc>
          <w:tcPr>
            <w:tcW w:type="dxa" w:w="4320"/>
          </w:tcPr>
          <w:p>
            <w:r>
              <w:rPr/>
              <w:t>Last revalidated</w:t>
            </w:r>
          </w:p>
        </w:tc>
        <w:tc>
          <w:tcPr>
            <w:tcW w:type="dxa" w:w="4320"/>
          </w:tcPr>
          <w:p>
            <w:r>
              <w:rPr/>
              <w:t>1047</w:t>
            </w:r>
          </w:p>
        </w:tc>
      </w:tr>
      <w:tr>
        <w:tc>
          <w:tcPr>
            <w:tcW w:type="dxa" w:w="4320"/>
          </w:tcPr>
          <w:p>
            <w:r>
              <w:rPr/>
              <w:t>Revalidation</w:t>
            </w:r>
          </w:p>
        </w:tc>
        <w:tc>
          <w:tcPr>
            <w:tcW w:type="dxa" w:w="4320"/>
          </w:tcPr>
          <w:p>
            <w:r>
              <w:rPr/>
              <w:t>Panel 12 March 1053 (this specification is the version submitted for revalidation)</w:t>
            </w:r>
          </w:p>
        </w:tc>
      </w:tr>
    </w:tbl>
    <w:p>
      <w:pPr>
        <w:pStyle w:val="Heading2"/>
      </w:pPr>
      <w:r>
        <w:t>Aims</w:t>
      </w:r>
    </w:p>
    <w:p>
      <w:r>
        <w:rPr/>
        <w:t>To educate occupational therapists who understand occupation as the means and the end of therapy; who can assess, plan and evaluate interventions with people whose lives have been disrupted by illness, injury or circumstance; and who can work across settings, from acute to community, with the person's own goals at the centre.</w:t>
      </w:r>
    </w:p>
    <w:p>
      <w:pPr>
        <w:pStyle w:val="Heading2"/>
      </w:pPr>
      <w:r>
        <w:t>Learning outcomes</w:t>
      </w:r>
    </w:p>
    <w:p>
      <w:pPr>
        <w:pStyle w:val="ListNumber"/>
      </w:pPr>
      <w:r>
        <w:rPr/>
        <w:t>Explain the relationship between occupation, health and wellbeing.</w:t>
      </w:r>
    </w:p>
    <w:p>
      <w:pPr>
        <w:pStyle w:val="ListNumber"/>
      </w:pPr>
      <w:r>
        <w:rPr/>
        <w:t>Assess occupational performance using recognised tools and clinical reasoning.</w:t>
      </w:r>
    </w:p>
    <w:p>
      <w:pPr>
        <w:pStyle w:val="ListNumber"/>
      </w:pPr>
      <w:r>
        <w:rPr/>
        <w:t>Plan, deliver and evaluate interventions in partnership with the person.</w:t>
      </w:r>
    </w:p>
    <w:p>
      <w:pPr>
        <w:pStyle w:val="ListNumber"/>
      </w:pPr>
      <w:r>
        <w:rPr/>
        <w:t>Work within the multidisciplinary team and across agencies.</w:t>
      </w:r>
    </w:p>
    <w:p>
      <w:pPr>
        <w:pStyle w:val="ListNumber"/>
      </w:pPr>
      <w:r>
        <w:rPr/>
        <w:t>Practise within the professional code, the law and the evidence.</w:t>
      </w:r>
    </w:p>
    <w:p>
      <w:pPr>
        <w:pStyle w:val="ListNumber"/>
      </w:pPr>
      <w:r>
        <w:rPr/>
        <w:t>Reflect critically on their own practice.</w:t>
      </w:r>
    </w:p>
    <w:p>
      <w:pPr>
        <w:pStyle w:val="ListNumber"/>
      </w:pPr>
      <w:r>
        <w:rPr/>
        <w:t>Undertake and appraise research relevant to practice.</w:t>
      </w:r>
    </w:p>
    <w:p>
      <w:pPr>
        <w:pStyle w:val="Heading2"/>
      </w:pPr>
      <w:r>
        <w:t>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Credits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880"/>
          </w:tcPr>
          <w:p>
            <w:r>
              <w:rPr/>
              <w:t>1</w:t>
            </w:r>
          </w:p>
        </w:tc>
        <w:tc>
          <w:tcPr>
            <w:tcW w:type="dxa" w:w="2880"/>
          </w:tcPr>
          <w:p>
            <w:r>
              <w:rPr/>
              <w:t>120 across six modules: foundations of occupation, anatomy and physiology, psychology for therapy, introduction to practice, professional studies, research methods 1</w:t>
            </w:r>
          </w:p>
        </w:tc>
        <w:tc>
          <w:tcPr>
            <w:tcW w:type="dxa" w:w="2880"/>
          </w:tcPr>
          <w:p>
            <w:r>
              <w:rPr/>
              <w:t>4 weeks</w:t>
            </w:r>
          </w:p>
        </w:tc>
      </w:tr>
      <w:tr>
        <w:tc>
          <w:tcPr>
            <w:tcW w:type="dxa" w:w="2880"/>
          </w:tcPr>
          <w:p>
            <w:r>
              <w:rPr/>
              <w:t>2</w:t>
            </w:r>
          </w:p>
        </w:tc>
        <w:tc>
          <w:tcPr>
            <w:tcW w:type="dxa" w:w="2880"/>
          </w:tcPr>
          <w:p>
            <w:r>
              <w:rPr/>
              <w:t>120 across six modules, each with two assessment points (the external examiner has recommended reducing this; see the self-evaluation document)</w:t>
            </w:r>
          </w:p>
        </w:tc>
        <w:tc>
          <w:tcPr>
            <w:tcW w:type="dxa" w:w="2880"/>
          </w:tcPr>
          <w:p>
            <w:r>
              <w:rPr/>
              <w:t>8 weeks and 6 weeks</w:t>
            </w:r>
          </w:p>
        </w:tc>
      </w:tr>
      <w:tr>
        <w:tc>
          <w:tcPr>
            <w:tcW w:type="dxa" w:w="2880"/>
          </w:tcPr>
          <w:p>
            <w:r>
              <w:rPr/>
              <w:t>3</w:t>
            </w:r>
          </w:p>
        </w:tc>
        <w:tc>
          <w:tcPr>
            <w:tcW w:type="dxa" w:w="2880"/>
          </w:tcPr>
          <w:p>
            <w:r>
              <w:rPr/>
              <w:t>120: dissertation (40), advanced practice (40), two option modules, final placement</w:t>
            </w:r>
          </w:p>
        </w:tc>
        <w:tc>
          <w:tcPr>
            <w:tcW w:type="dxa" w:w="2880"/>
          </w:tcPr>
          <w:p>
            <w:r>
              <w:rPr/>
              <w:t>10 weeks</w:t>
            </w:r>
          </w:p>
        </w:tc>
      </w:tr>
    </w:tbl>
    <w:p>
      <w:pPr>
        <w:pStyle w:val="Heading2"/>
      </w:pPr>
      <w:r>
        <w:t>Assessment</w:t>
      </w:r>
    </w:p>
    <w:p>
      <w:r>
        <w:rPr/>
        <w:t>Coursework, examinations, practical and viva assessments, placement records and the dissertation. Year 2 currently carries twelve assessment points. Degree classification is by the University's standard weighting (Year 2 one third, Year 3 two thirds).</w:t>
      </w:r>
    </w:p>
    <w:p>
      <w:pPr>
        <w:pStyle w:val="Heading2"/>
      </w:pPr>
      <w:r>
        <w:t>Admission</w:t>
      </w:r>
    </w:p>
    <w:p>
      <w:r>
        <w:rPr/>
        <w:t>Standard University entry requirements, a health declaration, enhanced vetting and interview.</w:t>
      </w:r>
    </w:p>
    <w:p>
      <w:pPr>
        <w:pStyle w:val="Heading2"/>
      </w:pPr>
      <w:r>
        <w:t>Fitness to practise</w:t>
      </w:r>
    </w:p>
    <w:p>
      <w:r>
        <w:rPr/>
        <w:t>Students are subject to the University's Fitness to Practise Procedure throughout.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PUBLIC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specification Occupational Therapy</dc:title>
  <dc:subject/>
  <dc:creator>Caerel Candletome</dc:creator>
  <cp:keywords/>
  <dc:description>generated by python-docx</dc:description>
  <cp:lastModifiedBy>Ollir Greenquill</cp:lastModifiedBy>
  <cp:revision>1</cp:revision>
  <dcterms:created xsi:type="dcterms:W3CDTF">2020-06-01T10:30:00Z</dcterms:created>
  <dcterms:modified xsi:type="dcterms:W3CDTF">2025-11-30T10:30:00Z</dcterms:modified>
  <cp:category>Public</cp:category>
</cp:coreProperties>
</file>