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COUNCIL</w:t>
      </w:r>
    </w:p>
    <w:p>
      <w:pPr>
        <w:pStyle w:val="Heading2"/>
      </w:pPr>
      <w:r>
        <w:t>Minutes of the meeting held on 21 November 1052 at 10:00 in the Council Chamber</w:t>
      </w:r>
    </w:p>
    <w:p>
      <w:r>
        <w:rPr>
          <w:b/>
        </w:rPr>
        <w:t>Present:</w:t>
      </w:r>
      <w:r>
        <w:rPr/>
        <w:t xml:space="preserve"> A. Crownweaver (Chair), Professor T. Illumenbark (Vice-Chancellor), and nine independent and staff members.</w:t>
      </w:r>
    </w:p>
    <w:p>
      <w:r>
        <w:rPr>
          <w:b/>
        </w:rPr>
        <w:t>In attendance:</w:t>
      </w:r>
      <w:r>
        <w:rPr/>
        <w:t xml:space="preserve"> T. Everjudged (University Secretary), Q. Deepmirror (Head of Planning and Insight, for item 5), the Director of Finance (for item 6), F. Gridforge (Head of Digital Services, for item 8), G. Bannerstone (Clerk).</w:t>
      </w:r>
    </w:p>
    <w:p>
      <w:r>
        <w:rPr>
          <w:b/>
        </w:rPr>
        <w:t>Apologies:</w:t>
      </w:r>
      <w:r>
        <w:rPr/>
        <w:t xml:space="preserve"> Two independent members.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Minute</w:t>
            </w:r>
          </w:p>
        </w:tc>
        <w:tc>
          <w:tcPr>
            <w:tcW w:type="dxa" w:w="2880"/>
          </w:tcPr>
          <w:p>
            <w:r>
              <w:rPr>
                <w:b/>
              </w:rPr>
              <w:t>Item</w:t>
            </w:r>
          </w:p>
        </w:tc>
        <w:tc>
          <w:tcPr>
            <w:tcW w:type="dxa" w:w="2880"/>
          </w:tcPr>
          <w:p>
            <w:r>
              <w:rPr>
                <w:b/>
              </w:rPr>
              <w:t>Action</w:t>
            </w:r>
          </w:p>
        </w:tc>
      </w:tr>
      <w:tr>
        <w:tc>
          <w:tcPr>
            <w:tcW w:type="dxa" w:w="2880"/>
          </w:tcPr>
          <w:p>
            <w:r>
              <w:rPr/>
              <w:t>12.1</w:t>
            </w:r>
          </w:p>
        </w:tc>
        <w:tc>
          <w:tcPr>
            <w:tcW w:type="dxa" w:w="2880"/>
          </w:tcPr>
          <w:p>
            <w:r>
              <w:rPr>
                <w:b/>
              </w:rPr>
              <w:t>Welcome, apologies and declarations of interest.</w:t>
            </w:r>
            <w:r>
              <w:rPr/>
              <w:t xml:space="preserve"> Apologies NOTED as above. No declarations.</w:t>
            </w:r>
          </w:p>
        </w:tc>
        <w:tc>
          <w:tcPr>
            <w:tcW w:type="dxa" w:w="2880"/>
          </w:tcPr>
          <w:p/>
        </w:tc>
      </w:tr>
      <w:tr>
        <w:tc>
          <w:tcPr>
            <w:tcW w:type="dxa" w:w="2880"/>
          </w:tcPr>
          <w:p>
            <w:r>
              <w:rPr/>
              <w:t>12.2</w:t>
            </w:r>
          </w:p>
        </w:tc>
        <w:tc>
          <w:tcPr>
            <w:tcW w:type="dxa" w:w="2880"/>
          </w:tcPr>
          <w:p>
            <w:r>
              <w:rPr>
                <w:b/>
              </w:rPr>
              <w:t>Minutes of 11 July 1052.</w:t>
            </w:r>
            <w:r>
              <w:rPr/>
              <w:t xml:space="preserve"> APPROVED.</w:t>
            </w:r>
          </w:p>
        </w:tc>
        <w:tc>
          <w:tcPr>
            <w:tcW w:type="dxa" w:w="2880"/>
          </w:tcPr>
          <w:p/>
        </w:tc>
      </w:tr>
      <w:tr>
        <w:tc>
          <w:tcPr>
            <w:tcW w:type="dxa" w:w="2880"/>
          </w:tcPr>
          <w:p>
            <w:r>
              <w:rPr/>
              <w:t>12.3</w:t>
            </w:r>
          </w:p>
        </w:tc>
        <w:tc>
          <w:tcPr>
            <w:tcW w:type="dxa" w:w="2880"/>
          </w:tcPr>
          <w:p>
            <w:r>
              <w:rPr>
                <w:b/>
              </w:rPr>
              <w:t>Matters arising</w:t>
            </w:r>
            <w:r>
              <w:rPr/>
              <w:t xml:space="preserve"> (C/1052/20). NOTED.</w:t>
            </w:r>
          </w:p>
        </w:tc>
        <w:tc>
          <w:tcPr>
            <w:tcW w:type="dxa" w:w="2880"/>
          </w:tcPr>
          <w:p/>
        </w:tc>
      </w:tr>
      <w:tr>
        <w:tc>
          <w:tcPr>
            <w:tcW w:type="dxa" w:w="2880"/>
          </w:tcPr>
          <w:p>
            <w:r>
              <w:rPr/>
              <w:t>12.4</w:t>
            </w:r>
          </w:p>
        </w:tc>
        <w:tc>
          <w:tcPr>
            <w:tcW w:type="dxa" w:w="2880"/>
          </w:tcPr>
          <w:p>
            <w:r>
              <w:rPr>
                <w:b/>
              </w:rPr>
              <w:t>Vice-Chancellor's report</w:t>
            </w:r>
            <w:r>
              <w:rPr/>
              <w:t xml:space="preserve"> (C/1052/21). NOTED.</w:t>
            </w:r>
          </w:p>
        </w:tc>
        <w:tc>
          <w:tcPr>
            <w:tcW w:type="dxa" w:w="2880"/>
          </w:tcPr>
          <w:p/>
        </w:tc>
      </w:tr>
      <w:tr>
        <w:tc>
          <w:tcPr>
            <w:tcW w:type="dxa" w:w="2880"/>
          </w:tcPr>
          <w:p>
            <w:r>
              <w:rPr/>
              <w:t>12.5</w:t>
            </w:r>
          </w:p>
        </w:tc>
        <w:tc>
          <w:tcPr>
            <w:tcW w:type="dxa" w:w="2880"/>
          </w:tcPr>
          <w:p>
            <w:r>
              <w:rPr>
                <w:b/>
              </w:rPr>
              <w:t>Annual report on student outcomes 1051-52</w:t>
            </w:r>
            <w:r>
              <w:rPr/>
              <w:t xml:space="preserve"> (C/1052/22). The Head of Planning and Insight presented the report, drawing attention to the section on how to read the figures. Council CONSIDERED the report. Members noted the continuing difference in good honours rates between Elf and Dwarf graduates across the University and particularly in the Faculty of Health and Education, where the report gave the difference for 1052 graduates as 18.9 percentage points. A member asked whether the difference was narrowing. The Head of Planning and Insight said that year-on-year movement was within the range expected from the number of graduates and that he would be cautious about reading a trend into it either way. The Chair observed that Council had seen a version of this table for several years and asked what the Faculty was doing. The Vice-Chancellor said that the Dean would be able to say more. Council NOTED the report and ASKED that the Faculty's response be reported to a future meeting.</w:t>
            </w:r>
          </w:p>
        </w:tc>
        <w:tc>
          <w:tcPr>
            <w:tcW w:type="dxa" w:w="2880"/>
          </w:tcPr>
          <w:p>
            <w:r>
              <w:rPr/>
              <w:t>University Secretary: schedule Faculty response, date to be agreed with the Dean.</w:t>
            </w:r>
          </w:p>
        </w:tc>
      </w:tr>
      <w:tr>
        <w:tc>
          <w:tcPr>
            <w:tcW w:type="dxa" w:w="2880"/>
          </w:tcPr>
          <w:p>
            <w:r>
              <w:rPr/>
              <w:t>12.6</w:t>
            </w:r>
          </w:p>
        </w:tc>
        <w:tc>
          <w:tcPr>
            <w:tcW w:type="dxa" w:w="2880"/>
          </w:tcPr>
          <w:p>
            <w:r>
              <w:rPr>
                <w:b/>
              </w:rPr>
              <w:t>Financial statements 1051-52</w:t>
            </w:r>
            <w:r>
              <w:rPr/>
              <w:t xml:space="preserve"> (C/1052/23). APPROVED for signature.</w:t>
            </w:r>
          </w:p>
        </w:tc>
        <w:tc>
          <w:tcPr>
            <w:tcW w:type="dxa" w:w="2880"/>
          </w:tcPr>
          <w:p/>
        </w:tc>
      </w:tr>
      <w:tr>
        <w:tc>
          <w:tcPr>
            <w:tcW w:type="dxa" w:w="2880"/>
          </w:tcPr>
          <w:p>
            <w:r>
              <w:rPr/>
              <w:t>12.7</w:t>
            </w:r>
          </w:p>
        </w:tc>
        <w:tc>
          <w:tcPr>
            <w:tcW w:type="dxa" w:w="2880"/>
          </w:tcPr>
          <w:p>
            <w:r>
              <w:rPr>
                <w:b/>
              </w:rPr>
              <w:t>Annual report from Senate</w:t>
            </w:r>
            <w:r>
              <w:rPr/>
              <w:t xml:space="preserve"> (C/1052/24). NOTED.</w:t>
            </w:r>
          </w:p>
        </w:tc>
        <w:tc>
          <w:tcPr>
            <w:tcW w:type="dxa" w:w="2880"/>
          </w:tcPr>
          <w:p/>
        </w:tc>
      </w:tr>
      <w:tr>
        <w:tc>
          <w:tcPr>
            <w:tcW w:type="dxa" w:w="2880"/>
          </w:tcPr>
          <w:p>
            <w:r>
              <w:rPr/>
              <w:t>12.8</w:t>
            </w:r>
          </w:p>
        </w:tc>
        <w:tc>
          <w:tcPr>
            <w:tcW w:type="dxa" w:w="2880"/>
          </w:tcPr>
          <w:p>
            <w:r>
              <w:rPr>
                <w:b/>
              </w:rPr>
              <w:t>StoneShare migration: completion report</w:t>
            </w:r>
            <w:r>
              <w:rPr/>
              <w:t xml:space="preserve"> (C/1052/25). The Head of Digital Services reported that the legacy StoneShare network drive had been migrated to the Hub over the weekend of 8 and 9 November without loss of data, on a lift-and-shift basis at the request of the Faculty, and that the drive had been decommissioned. A member asked whether material had been reviewed before migration. The Head of Digital Services said that review was for the owning teams and had not been in scope. Council NOTED the report.</w:t>
            </w:r>
          </w:p>
        </w:tc>
        <w:tc>
          <w:tcPr>
            <w:tcW w:type="dxa" w:w="2880"/>
          </w:tcPr>
          <w:p/>
        </w:tc>
      </w:tr>
      <w:tr>
        <w:tc>
          <w:tcPr>
            <w:tcW w:type="dxa" w:w="2880"/>
          </w:tcPr>
          <w:p>
            <w:r>
              <w:rPr/>
              <w:t>12.9</w:t>
            </w:r>
          </w:p>
        </w:tc>
        <w:tc>
          <w:tcPr>
            <w:tcW w:type="dxa" w:w="2880"/>
          </w:tcPr>
          <w:p>
            <w:r>
              <w:rPr>
                <w:b/>
              </w:rPr>
              <w:t>Any other business.</w:t>
            </w:r>
            <w:r>
              <w:rPr/>
              <w:t xml:space="preserve"> None.</w:t>
            </w:r>
          </w:p>
        </w:tc>
        <w:tc>
          <w:tcPr>
            <w:tcW w:type="dxa" w:w="2880"/>
          </w:tcPr>
          <w:p/>
        </w:tc>
      </w:tr>
      <w:tr>
        <w:tc>
          <w:tcPr>
            <w:tcW w:type="dxa" w:w="2880"/>
          </w:tcPr>
          <w:p>
            <w:r>
              <w:rPr/>
              <w:t>12.10</w:t>
            </w:r>
          </w:p>
        </w:tc>
        <w:tc>
          <w:tcPr>
            <w:tcW w:type="dxa" w:w="2880"/>
          </w:tcPr>
          <w:p>
            <w:r>
              <w:rPr>
                <w:b/>
              </w:rPr>
              <w:t>Reserved business.</w:t>
            </w:r>
            <w:r>
              <w:rPr/>
              <w:t xml:space="preserve"> A reserved item concerning a senior appointment was taken. Minutes are recorded separately.</w:t>
            </w:r>
          </w:p>
        </w:tc>
        <w:tc>
          <w:tcPr>
            <w:tcW w:type="dxa" w:w="2880"/>
          </w:tcPr>
          <w:p/>
        </w:tc>
      </w:tr>
      <w:tr>
        <w:tc>
          <w:tcPr>
            <w:tcW w:type="dxa" w:w="2880"/>
          </w:tcPr>
          <w:p>
            <w:r>
              <w:rPr/>
              <w:t>12.11</w:t>
            </w:r>
          </w:p>
        </w:tc>
        <w:tc>
          <w:tcPr>
            <w:tcW w:type="dxa" w:w="2880"/>
          </w:tcPr>
          <w:p>
            <w:r>
              <w:rPr>
                <w:b/>
              </w:rPr>
              <w:t>Date of next meeting.</w:t>
            </w:r>
            <w:r>
              <w:rPr/>
              <w:t xml:space="preserve"> 21 February 1053, 10:00.</w:t>
            </w:r>
          </w:p>
        </w:tc>
        <w:tc>
          <w:tcPr>
            <w:tcW w:type="dxa" w:w="2880"/>
          </w:tcPr>
          <w:p/>
        </w:tc>
      </w:tr>
    </w:tbl>
    <w:p>
      <w:r>
        <w:rPr/>
        <w:t>Clerk: G. Bannerstone Approved: 21 February 1053 (minute 13.2).</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minutes 21 November 1052</dc:title>
  <dc:subject/>
  <dc:creator>Gudrik Bannerstone</dc:creator>
  <cp:keywords/>
  <dc:description>generated by python-docx</dc:description>
  <cp:lastModifiedBy>Gudrik Bannerstone</cp:lastModifiedBy>
  <cp:revision>1</cp:revision>
  <dcterms:created xsi:type="dcterms:W3CDTF">2025-11-27T10:30:00Z</dcterms:created>
  <dcterms:modified xsi:type="dcterms:W3CDTF">2026-02-21T10:30:00Z</dcterms:modified>
  <cp:category>Internal</cp:category>
</cp:coreProperties>
</file>