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Generative AI: Guidance for Staff (Draft B)</w:t>
      </w:r>
    </w:p>
    <w:p>
      <w:r>
        <w:rPr/>
        <w:t>Digital Services redraft, 14 October 1052, responding to Information Governance draft 0.1. Not approved.</w:t>
      </w:r>
    </w:p>
    <w:p>
      <w:pPr>
        <w:pStyle w:val="Heading2"/>
      </w:pPr>
      <w:r>
        <w:t>1. Purpose</w:t>
      </w:r>
    </w:p>
    <w:p>
      <w:r>
        <w:rPr/>
        <w:t>1.1 Staff are already using generative AI tools. A policy that prohibits what is already happening will be ignored and will push use out of sight. This guidance aims to make use visible and sensible.</w:t>
      </w:r>
    </w:p>
    <w:p>
      <w:pPr>
        <w:pStyle w:val="Heading2"/>
      </w:pPr>
      <w:r>
        <w:t>2. Principles</w:t>
      </w:r>
    </w:p>
    <w:p>
      <w:r>
        <w:rPr/>
        <w:t>2.1 You are responsible for what you produce, however you produce it.</w:t>
      </w:r>
    </w:p>
    <w:p>
      <w:r>
        <w:rPr/>
        <w:t>2.2 Check outputs. Tools make things up.</w:t>
      </w:r>
    </w:p>
    <w:p>
      <w:r>
        <w:rPr/>
        <w:t>2.3 Use common sense about sensitive material.</w:t>
      </w:r>
    </w:p>
    <w:p>
      <w:pPr>
        <w:pStyle w:val="Heading2"/>
      </w:pPr>
      <w:r>
        <w:t>3. Guidance</w:t>
      </w:r>
    </w:p>
    <w:p>
      <w:r>
        <w:rPr/>
        <w:t>3.1 Staff may use any generative AI tool for any University work provided they do not enter special category personal data (health, ethnicity, and so on) into a tool that is not provided by the University.</w:t>
      </w:r>
    </w:p>
    <w:p>
      <w:r>
        <w:rPr/>
        <w:t>3.2 Staff should prefer the University-provided tool, Cloudi, once available, because it has contractual protections.</w:t>
      </w:r>
    </w:p>
    <w:p>
      <w:r>
        <w:rPr/>
        <w:t>3.3 Staff should be transparent about significant use.</w:t>
      </w:r>
    </w:p>
    <w:p>
      <w:r>
        <w:rPr/>
        <w:t>3.4 Line managers may set local rules.</w:t>
      </w:r>
    </w:p>
    <w:p>
      <w:pPr>
        <w:pStyle w:val="Heading2"/>
      </w:pPr>
      <w:r>
        <w:t>4. Support</w:t>
      </w:r>
    </w:p>
    <w:p>
      <w:r>
        <w:rPr/>
        <w:t>4.1 Digital Services will publish a list of recommended tools and configuration guidance.</w:t>
      </w:r>
    </w:p>
    <w:p>
      <w:r>
        <w:rPr/>
        <w:t>Fenn Gridforge Head of Digital Services</w:t>
      </w:r>
    </w:p>
    <w:p>
      <w:r>
        <w:rPr>
          <w:i/>
        </w:rPr>
        <w:t>Note: Elenna, I have kept this to one page on purpose. "Common sense about sensitive material" is doing a lot of work and I accept we will need to define it. Suggest we meet. 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policy draft B Digital</dc:title>
  <dc:subject/>
  <dc:creator>Fenn Gridforge</dc:creator>
  <cp:keywords/>
  <dc:description>generated by python-docx</dc:description>
  <cp:lastModifiedBy>Fenn Gridforge</cp:lastModifiedBy>
  <cp:revision>1</cp:revision>
  <dcterms:created xsi:type="dcterms:W3CDTF">2025-10-14T10:30:00Z</dcterms:created>
  <dcterms:modified xsi:type="dcterms:W3CDTF">2025-10-14T10:30:00Z</dcterms:modified>
  <cp:category>Internal</cp:category>
</cp:coreProperties>
</file>