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rPr>
          <w:b/>
        </w:rPr>
        <w:t>From:</w:t>
      </w:r>
      <w:r>
        <w:rPr/>
        <w:t xml:space="preserve"> Dr Hrogar Dourstone, Head of the Department of Healing Arts </w:t>
      </w:r>
      <w:r>
        <w:rPr>
          <w:b/>
        </w:rPr>
        <w:t>To:</w:t>
      </w:r>
      <w:r>
        <w:rPr/>
        <w:t xml:space="preserve"> The Vice-Chancellor and Members of Senate </w:t>
      </w:r>
      <w:r>
        <w:rPr>
          <w:b/>
        </w:rPr>
        <w:t>Copy:</w:t>
      </w:r>
      <w:r>
        <w:rPr/>
        <w:t xml:space="preserve"> The University Secretary; the Dean of the Faculty of Health and Education; the Governance Officer </w:t>
      </w:r>
      <w:r>
        <w:rPr>
          <w:b/>
        </w:rPr>
        <w:t>Date:</w:t>
      </w:r>
      <w:r>
        <w:rPr/>
        <w:t xml:space="preserve"> 18.01.53 </w:t>
      </w:r>
      <w:r>
        <w:rPr>
          <w:b/>
        </w:rPr>
        <w:t>Subject:</w:t>
      </w:r>
      <w:r>
        <w:rPr/>
        <w:t xml:space="preserve"> Dissenting note on the draft Artificial Intelligence Acceptable Use Policy (S/1052/41), for inclusion in the papers for Senate, 5 February 1053</w:t>
      </w:r>
    </w:p>
    <w:p>
      <w:pPr>
        <w:pStyle w:val="ListNumber"/>
      </w:pPr>
      <w:r>
        <w:rPr/>
        <w:t>At its meeting of 4 December 1052 Senate approved the above policy in principle and permitted me to set out, for the record, the alternative position. I am grateful for that courtesy and I am minded to use it sparingly.</w:t>
      </w:r>
    </w:p>
    <w:p>
      <w:pPr>
        <w:pStyle w:val="ListNumber"/>
      </w:pPr>
      <w:r>
        <w:rPr/>
        <w:t>The alternative position is this. The University should not adopt generative artificial intelligence tools for any material other than that which is already public until there is evidence, from institutions comparable to our own, that such tools can be used safely in the handling of information about candidates and colleagues. "Safely" I take to mean: without the introduction of errors that a reasonable reader would not detect.</w:t>
      </w:r>
    </w:p>
    <w:p>
      <w:pPr>
        <w:pStyle w:val="ListNumber"/>
      </w:pPr>
      <w:r>
        <w:rPr/>
        <w:t>The policy before Senate accepts, in terms, that these tools invent facts fluently. Its remedy is that the user must check. I do not doubt the sincerity of the remedy. I doubt its sufficiency. Checking is the thing that is not done when people are, as the Head of the Department of Education put it, drowning. A policy that depends for its safety on the behaviour it is least likely to produce is not a safe policy.</w:t>
      </w:r>
    </w:p>
    <w:p>
      <w:pPr>
        <w:pStyle w:val="ListNumber"/>
      </w:pPr>
      <w:r>
        <w:rPr/>
        <w:t>I am told that colleagues are already using these tools and that the policy merely regularises what is happening. I would observe that colleagues are also already parking in the Dean's space, and we have not responded by allocating it to them.</w:t>
      </w:r>
    </w:p>
    <w:p>
      <w:pPr>
        <w:pStyle w:val="ListNumber"/>
      </w:pPr>
      <w:r>
        <w:rPr/>
        <w:t>I do not ask Senate to reject the policy. I recognise the sense of the meeting. I ask three things.</w:t>
      </w:r>
    </w:p>
    <w:p>
      <w:pPr>
        <w:pStyle w:val="ListNumber"/>
      </w:pPr>
      <w:r>
        <w:rPr/>
        <w:t>First, that the Department of Healing Arts be permitted to adopt a stricter local position, under the provision in the roles table that allows line managers to set local rules, prohibiting the use of these tools in the preparation of any document relating to a candidate's placement, progression or fitness to practise, whether or not that document is labelled Confidential.</w:t>
      </w:r>
    </w:p>
    <w:p>
      <w:pPr>
        <w:pStyle w:val="ListNumber"/>
      </w:pPr>
      <w:r>
        <w:rPr/>
        <w:t>Second, that the review at six months include an audit, by the Information Governance Manager, of a sample of documents produced with the institutional tool, checked against their sources, with the error rate reported to Senate.</w:t>
      </w:r>
    </w:p>
    <w:p>
      <w:pPr>
        <w:pStyle w:val="ListNumber"/>
      </w:pPr>
      <w:r>
        <w:rPr/>
        <w:t>Third, that the training module proposed at the December meeting include, as its first exercise, a demonstration of the tool producing a confident and wrong summary of a document the participants have read.</w:t>
      </w:r>
    </w:p>
    <w:p>
      <w:pPr>
        <w:pStyle w:val="ListNumber"/>
      </w:pPr>
      <w:r>
        <w:rPr/>
        <w:t>I remain, as ever, at the disposal of Senate.</w:t>
      </w:r>
    </w:p>
    <w:p>
      <w:r>
        <w:rPr/>
        <w:t>H. Dourstone Head of the Department of Healing Arts Faculty of Health and Education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College of the Vale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A1F2E"/>
      </w:rPr>
      <w:t>Stonegrove College of the Vale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Dissenting note Dr Dourstone AI policy</dc:title>
  <dc:subject/>
  <dc:creator>Hrogar Dourstone</dc:creator>
  <cp:keywords/>
  <dc:description>generated by python-docx</dc:description>
  <cp:lastModifiedBy>Hrogar Dourstone</cp:lastModifiedBy>
  <cp:revision>1</cp:revision>
  <dcterms:created xsi:type="dcterms:W3CDTF">2026-01-16T10:30:00Z</dcterms:created>
  <dcterms:modified xsi:type="dcterms:W3CDTF">2026-01-18T10:30:00Z</dcterms:modified>
  <cp:category>Internal</cp:category>
</cp:coreProperties>
</file>