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External Examiner's Annual Report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rPr/>
              <w:t>Institution</w:t>
            </w:r>
          </w:p>
        </w:tc>
        <w:tc>
          <w:tcPr>
            <w:tcW w:type="dxa" w:w="4320"/>
          </w:tcPr>
          <w:p>
            <w:r>
              <w:rPr/>
              <w:t>Stonegrove University</w:t>
            </w:r>
          </w:p>
        </w:tc>
      </w:tr>
      <w:tr>
        <w:tc>
          <w:tcPr>
            <w:tcW w:type="dxa" w:w="4320"/>
          </w:tcPr>
          <w:p>
            <w:r>
              <w:rPr/>
              <w:t>Programme</w:t>
            </w:r>
          </w:p>
        </w:tc>
        <w:tc>
          <w:tcPr>
            <w:tcW w:type="dxa" w:w="4320"/>
          </w:tcPr>
          <w:p>
            <w:r>
              <w:rPr/>
              <w:t>BSc (Hons) Occupational Therapy</w:t>
            </w:r>
          </w:p>
        </w:tc>
      </w:tr>
      <w:tr>
        <w:tc>
          <w:tcPr>
            <w:tcW w:type="dxa" w:w="4320"/>
          </w:tcPr>
          <w:p>
            <w:r>
              <w:rPr/>
              <w:t>External examiner</w:t>
            </w:r>
          </w:p>
        </w:tc>
        <w:tc>
          <w:tcPr>
            <w:tcW w:type="dxa" w:w="4320"/>
          </w:tcPr>
          <w:p>
            <w:r>
              <w:rPr/>
              <w:t>Dr Marenel Boughwitness, Elder Grove University</w:t>
            </w:r>
          </w:p>
        </w:tc>
      </w:tr>
      <w:tr>
        <w:tc>
          <w:tcPr>
            <w:tcW w:type="dxa" w:w="4320"/>
          </w:tcPr>
          <w:p>
            <w:r>
              <w:rPr/>
              <w:t>Academic year</w:t>
            </w:r>
          </w:p>
        </w:tc>
        <w:tc>
          <w:tcPr>
            <w:tcW w:type="dxa" w:w="4320"/>
          </w:tcPr>
          <w:p>
            <w:r>
              <w:rPr/>
              <w:t>1049-50</w:t>
            </w:r>
          </w:p>
        </w:tc>
      </w:tr>
      <w:tr>
        <w:tc>
          <w:tcPr>
            <w:tcW w:type="dxa" w:w="4320"/>
          </w:tcPr>
          <w:p>
            <w:r>
              <w:rPr/>
              <w:t>Year of tenure</w:t>
            </w:r>
          </w:p>
        </w:tc>
        <w:tc>
          <w:tcPr>
            <w:tcW w:type="dxa" w:w="4320"/>
          </w:tcPr>
          <w:p>
            <w:r>
              <w:rPr/>
              <w:t>1 of 4</w:t>
            </w:r>
          </w:p>
        </w:tc>
      </w:tr>
      <w:tr>
        <w:tc>
          <w:tcPr>
            <w:tcW w:type="dxa" w:w="4320"/>
          </w:tcPr>
          <w:p>
            <w:r>
              <w:rPr/>
              <w:t>Date</w:t>
            </w:r>
          </w:p>
        </w:tc>
        <w:tc>
          <w:tcPr>
            <w:tcW w:type="dxa" w:w="4320"/>
          </w:tcPr>
          <w:p>
            <w:r>
              <w:rPr/>
              <w:t>28 July 1050</w:t>
            </w:r>
          </w:p>
        </w:tc>
      </w:tr>
    </w:tbl>
    <w:p>
      <w:pPr>
        <w:pStyle w:val="Heading2"/>
      </w:pPr>
      <w:r>
        <w:t>1. Standards</w:t>
      </w:r>
    </w:p>
    <w:p>
      <w:r>
        <w:rPr/>
        <w:t>The standards set for the award are appropriate and comparable with those at Elder Grove and at the other institutions with which I am familiar. The learning outcomes are clear and the assessments test them.</w:t>
      </w:r>
    </w:p>
    <w:p>
      <w:pPr>
        <w:pStyle w:val="Heading2"/>
      </w:pPr>
      <w:r>
        <w:t>2. Student performance</w:t>
      </w:r>
    </w:p>
    <w:p>
      <w:r>
        <w:rPr/>
        <w:t>The standard of student work I sampled was good, and at the top end very good. Placement portfolios in particular show students reasoning about occupation in a way that is mature for the level.</w:t>
      </w:r>
    </w:p>
    <w:p>
      <w:pPr>
        <w:pStyle w:val="Heading2"/>
      </w:pPr>
      <w:r>
        <w:t>3. Assessment and marking</w:t>
      </w:r>
    </w:p>
    <w:p>
      <w:r>
        <w:rPr/>
        <w:t>Marking is accurate and the internal moderation is thorough. I agreed with the marks in all but two of the forty scripts I sampled, and in those two the difference was within a grade band.</w:t>
      </w:r>
    </w:p>
    <w:p>
      <w:pPr>
        <w:pStyle w:val="Heading2"/>
      </w:pPr>
      <w:r>
        <w:t>4. Matters for the programme team's attention</w:t>
      </w:r>
    </w:p>
    <w:p>
      <w:r>
        <w:rPr/>
        <w:t>I note that Year 2 of the programme carries twelve summative assessment points across six modules. In my experience this is at the upper end for programmes of this kind. Students' reflective accounts from Year 2 make reference, more than once, to "assessment after assessment", and the programme team may wish to consider whether the same learning outcomes could be assessed with fewer, larger pieces of work. I raise this as a matter for consideration rather than as a concern about standards.</w:t>
      </w:r>
    </w:p>
    <w:p>
      <w:pPr>
        <w:pStyle w:val="Heading2"/>
      </w:pPr>
      <w:r>
        <w:t>5. Examination Board</w:t>
      </w:r>
    </w:p>
    <w:p>
      <w:r>
        <w:rPr/>
        <w:t>The Board was well conducted and quorate. Papers were received in good time.</w:t>
      </w:r>
    </w:p>
    <w:p>
      <w:pPr>
        <w:pStyle w:val="Heading2"/>
      </w:pPr>
      <w:r>
        <w:t>6. Response</w:t>
      </w:r>
    </w:p>
    <w:p>
      <w:r>
        <w:rPr/>
        <w:t>I would be grateful for the programme team's response to section 4 in the usual way.</w:t>
      </w:r>
    </w:p>
    <w:p>
      <w:r>
        <w:rPr/>
        <w:t>M. Boughwitness</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External examiner report Occupational Therapy 1050</dc:title>
  <dc:subject/>
  <dc:creator>Marenel Boughwitness</dc:creator>
  <cp:keywords/>
  <dc:description>generated by python-docx</dc:description>
  <cp:lastModifiedBy>Ollir Greenquill</cp:lastModifiedBy>
  <cp:revision>1</cp:revision>
  <dcterms:created xsi:type="dcterms:W3CDTF">2023-07-20T10:30:00Z</dcterms:created>
  <dcterms:modified xsi:type="dcterms:W3CDTF">2023-07-28T10:30:00Z</dcterms:modified>
  <cp:category>Internal</cp:category>
</cp:coreProperties>
</file>