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Awarding Gap Annual Report 1051-52</w:t>
      </w:r>
    </w:p>
    <w:p>
      <w:pPr>
        <w:pStyle w:val="Heading2"/>
      </w:pPr>
      <w:r>
        <w:t>Faculty of Health and Education</w:t>
      </w:r>
    </w:p>
    <w:p>
      <w:r>
        <w:rPr/>
        <w:t>Planning and Insight. Version 01, 10 November 1052. Prepared for Council (C/1052/22, appendix) and the Faculty. Internal.</w:t>
      </w:r>
    </w:p>
    <w:p>
      <w:pPr>
        <w:pStyle w:val="Heading2"/>
      </w:pPr>
      <w:r>
        <w:t>How to read this report</w:t>
      </w:r>
    </w:p>
    <w:p>
      <w:pPr>
        <w:pStyle w:val="ListBullet"/>
      </w:pPr>
      <w:r>
        <w:rPr>
          <w:b/>
        </w:rPr>
        <w:t>Good honours</w:t>
      </w:r>
      <w:r>
        <w:rPr/>
        <w:t xml:space="preserve"> means a First or Upper Second class degree.</w:t>
      </w:r>
    </w:p>
    <w:p>
      <w:pPr>
        <w:pStyle w:val="ListBullet"/>
      </w:pPr>
      <w:r>
        <w:rPr>
          <w:b/>
        </w:rPr>
        <w:t>The awarding gap</w:t>
      </w:r>
      <w:r>
        <w:rPr/>
        <w:t xml:space="preserve"> is the good honours rate for Elf graduates minus the rate for Dwarf graduates, in percentage points. A positive figure means Elf graduates were awarded good honours more often.</w:t>
      </w:r>
    </w:p>
    <w:p>
      <w:pPr>
        <w:pStyle w:val="ListBullet"/>
      </w:pPr>
      <w:r>
        <w:rPr/>
        <w:t xml:space="preserve">Graduating year </w:t>
      </w:r>
      <w:r>
        <w:rPr>
          <w:b/>
        </w:rPr>
        <w:t>1052</w:t>
      </w:r>
      <w:r>
        <w:rPr/>
        <w:t xml:space="preserve"> means students who completed in academic year 1051-52. Figures for 1052 graduates are the most recent available; 1053 graduates will not be known until the summer exam boards.</w:t>
      </w:r>
    </w:p>
    <w:p>
      <w:pPr>
        <w:pStyle w:val="ListBullet"/>
      </w:pPr>
      <w:r>
        <w:rPr/>
        <w:t>The Faculty's graduates in any one year number a few hundred. Year-on-year movements of several percentage points are within the range the numbers would produce by chance. Read the five-year table, not the latest point.</w:t>
      </w:r>
    </w:p>
    <w:p>
      <w:pPr>
        <w:pStyle w:val="ListBullet"/>
      </w:pPr>
      <w:r>
        <w:rPr/>
        <w:t>Programme-level figures are suppressed where a group has fewer than 20 graduates.</w:t>
      </w:r>
    </w:p>
    <w:p>
      <w:pPr>
        <w:pStyle w:val="Heading2"/>
      </w:pPr>
      <w:r>
        <w:t>Headline</w:t>
      </w:r>
    </w:p>
    <w:p>
      <w:r>
        <w:rPr/>
        <w:t xml:space="preserve">For 1052 graduates, 63.6% of Elf graduates and 44.8% of Dwarf graduates in the Faculty achieved good honours. The gap is </w:t>
      </w:r>
      <w:r>
        <w:rPr>
          <w:b/>
        </w:rPr>
        <w:t>18.9 percentage points</w:t>
      </w:r>
      <w:r>
        <w:rPr/>
        <w:t>, from 111 graduates.</w:t>
      </w:r>
    </w:p>
    <w:p>
      <w:r>
        <w:rPr/>
        <w:t>The corresponding figure for 1051 graduates was 27.9 percentage points. The movement between the two years should not be read as a trend; see the table below.</w:t>
      </w:r>
    </w:p>
    <w:p>
      <w:pPr>
        <w:pStyle w:val="Heading2"/>
      </w:pPr>
      <w:r>
        <w:t>Five years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Graduating 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Graduates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Elf good honours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Dwarf good honours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 (pp)</w:t>
            </w:r>
          </w:p>
        </w:tc>
      </w:tr>
      <w:tr>
        <w:tc>
          <w:tcPr>
            <w:tcW w:type="dxa" w:w="1728"/>
          </w:tcPr>
          <w:p>
            <w:r>
              <w:rPr/>
              <w:t>1049</w:t>
            </w:r>
          </w:p>
        </w:tc>
        <w:tc>
          <w:tcPr>
            <w:tcW w:type="dxa" w:w="1728"/>
          </w:tcPr>
          <w:p>
            <w:r>
              <w:rPr/>
              <w:t>78</w:t>
            </w:r>
          </w:p>
        </w:tc>
        <w:tc>
          <w:tcPr>
            <w:tcW w:type="dxa" w:w="1728"/>
          </w:tcPr>
          <w:p>
            <w:r>
              <w:rPr/>
              <w:t>83.3</w:t>
            </w:r>
          </w:p>
        </w:tc>
        <w:tc>
          <w:tcPr>
            <w:tcW w:type="dxa" w:w="1728"/>
          </w:tcPr>
          <w:p>
            <w:r>
              <w:rPr/>
              <w:t>54.8</w:t>
            </w:r>
          </w:p>
        </w:tc>
        <w:tc>
          <w:tcPr>
            <w:tcW w:type="dxa" w:w="1728"/>
          </w:tcPr>
          <w:p>
            <w:r>
              <w:rPr/>
              <w:t>28.6</w:t>
            </w:r>
          </w:p>
        </w:tc>
      </w:tr>
      <w:tr>
        <w:tc>
          <w:tcPr>
            <w:tcW w:type="dxa" w:w="1728"/>
          </w:tcPr>
          <w:p>
            <w:r>
              <w:rPr/>
              <w:t>1050</w:t>
            </w:r>
          </w:p>
        </w:tc>
        <w:tc>
          <w:tcPr>
            <w:tcW w:type="dxa" w:w="1728"/>
          </w:tcPr>
          <w:p>
            <w:r>
              <w:rPr/>
              <w:t>127</w:t>
            </w:r>
          </w:p>
        </w:tc>
        <w:tc>
          <w:tcPr>
            <w:tcW w:type="dxa" w:w="1728"/>
          </w:tcPr>
          <w:p>
            <w:r>
              <w:rPr/>
              <w:t>67.3</w:t>
            </w:r>
          </w:p>
        </w:tc>
        <w:tc>
          <w:tcPr>
            <w:tcW w:type="dxa" w:w="1728"/>
          </w:tcPr>
          <w:p>
            <w:r>
              <w:rPr/>
              <w:t>44.0</w:t>
            </w:r>
          </w:p>
        </w:tc>
        <w:tc>
          <w:tcPr>
            <w:tcW w:type="dxa" w:w="1728"/>
          </w:tcPr>
          <w:p>
            <w:r>
              <w:rPr/>
              <w:t>23.3</w:t>
            </w:r>
          </w:p>
        </w:tc>
      </w:tr>
      <w:tr>
        <w:tc>
          <w:tcPr>
            <w:tcW w:type="dxa" w:w="1728"/>
          </w:tcPr>
          <w:p>
            <w:r>
              <w:rPr/>
              <w:t>1051</w:t>
            </w:r>
          </w:p>
        </w:tc>
        <w:tc>
          <w:tcPr>
            <w:tcW w:type="dxa" w:w="1728"/>
          </w:tcPr>
          <w:p>
            <w:r>
              <w:rPr/>
              <w:t>97</w:t>
            </w:r>
          </w:p>
        </w:tc>
        <w:tc>
          <w:tcPr>
            <w:tcW w:type="dxa" w:w="1728"/>
          </w:tcPr>
          <w:p>
            <w:r>
              <w:rPr/>
              <w:t>70.0</w:t>
            </w:r>
          </w:p>
        </w:tc>
        <w:tc>
          <w:tcPr>
            <w:tcW w:type="dxa" w:w="1728"/>
          </w:tcPr>
          <w:p>
            <w:r>
              <w:rPr/>
              <w:t>42.1</w:t>
            </w:r>
          </w:p>
        </w:tc>
        <w:tc>
          <w:tcPr>
            <w:tcW w:type="dxa" w:w="1728"/>
          </w:tcPr>
          <w:p>
            <w:r>
              <w:rPr/>
              <w:t>27.9</w:t>
            </w:r>
          </w:p>
        </w:tc>
      </w:tr>
      <w:tr>
        <w:tc>
          <w:tcPr>
            <w:tcW w:type="dxa" w:w="1728"/>
          </w:tcPr>
          <w:p>
            <w:r>
              <w:rPr/>
              <w:t>1052</w:t>
            </w:r>
          </w:p>
        </w:tc>
        <w:tc>
          <w:tcPr>
            <w:tcW w:type="dxa" w:w="1728"/>
          </w:tcPr>
          <w:p>
            <w:r>
              <w:rPr/>
              <w:t>111</w:t>
            </w:r>
          </w:p>
        </w:tc>
        <w:tc>
          <w:tcPr>
            <w:tcW w:type="dxa" w:w="1728"/>
          </w:tcPr>
          <w:p>
            <w:r>
              <w:rPr/>
              <w:t>63.6</w:t>
            </w:r>
          </w:p>
        </w:tc>
        <w:tc>
          <w:tcPr>
            <w:tcW w:type="dxa" w:w="1728"/>
          </w:tcPr>
          <w:p>
            <w:r>
              <w:rPr/>
              <w:t>44.8</w:t>
            </w:r>
          </w:p>
        </w:tc>
        <w:tc>
          <w:tcPr>
            <w:tcW w:type="dxa" w:w="1728"/>
          </w:tcPr>
          <w:p>
            <w:r>
              <w:rPr/>
              <w:t>18.9</w:t>
            </w:r>
          </w:p>
        </w:tc>
      </w:tr>
    </w:tbl>
    <w:p>
      <w:r>
        <w:rPr/>
        <w:t>Source: institutional student record, good honours extract, 3 November 1052. The individual-level extract (student IDs only) is in Planning and Insight, Data Extracts.</w:t>
      </w:r>
    </w:p>
    <w:p>
      <w:pPr>
        <w:pStyle w:val="Heading2"/>
      </w:pPr>
      <w:r>
        <w:t>What sits behind the gap</w:t>
      </w:r>
    </w:p>
    <w:p>
      <w:r>
        <w:rPr/>
        <w:t>The gap is not explained by species as such. Our analysis, consistent with the institutional picture, finds that it is carried by differences in the circumstances students arrive with:</w:t>
      </w:r>
    </w:p>
    <w:p>
      <w:pPr>
        <w:pStyle w:val="ListBullet"/>
      </w:pPr>
      <w:r>
        <w:rPr>
          <w:b/>
        </w:rPr>
        <w:t>Prior education.</w:t>
      </w:r>
      <w:r>
        <w:rPr/>
        <w:t xml:space="preserve"> Dwarf entrants are more likely to come through the vocational and apprenticeship routes than the academic route, and prior route is associated with first-year marks across all programmes.</w:t>
      </w:r>
    </w:p>
    <w:p>
      <w:pPr>
        <w:pStyle w:val="ListBullet"/>
      </w:pPr>
      <w:r>
        <w:rPr>
          <w:b/>
        </w:rPr>
        <w:t>Socioeconomic position.</w:t>
      </w:r>
      <w:r>
        <w:rPr/>
        <w:t xml:space="preserve"> The Faculty recruits more Dwarf students from the lower socioeconomic ranks. Socioeconomic rank is associated with first-generation status, with recorded disability, and with engagement in the first semester.</w:t>
      </w:r>
    </w:p>
    <w:p>
      <w:pPr>
        <w:pStyle w:val="ListBullet"/>
      </w:pPr>
      <w:r>
        <w:rPr>
          <w:b/>
        </w:rPr>
        <w:t>Disability.</w:t>
      </w:r>
      <w:r>
        <w:rPr/>
        <w:t xml:space="preserve"> Recorded disability rates differ by clan, and students with a recorded disability show lower average marks in the first year, narrowing by the third.</w:t>
      </w:r>
    </w:p>
    <w:p>
      <w:pPr>
        <w:pStyle w:val="ListBullet"/>
      </w:pPr>
      <w:r>
        <w:rPr>
          <w:b/>
        </w:rPr>
        <w:t>Engagement.</w:t>
      </w:r>
      <w:r>
        <w:rPr/>
        <w:t xml:space="preserve"> First-semester attendance and VLE engagement predict year outcome more strongly than any demographic variable. The gap in engagement between groups is small but it compounds.</w:t>
      </w:r>
    </w:p>
    <w:p>
      <w:r>
        <w:rPr/>
        <w:t>When these are taken into account the residual difference by species is small. That is not the same as saying there is no problem; it says where the problem is. Interventions that act on engagement and on support in the first year are the ones the evidence supports.</w:t>
      </w:r>
    </w:p>
    <w:p>
      <w:pPr>
        <w:pStyle w:val="Heading2"/>
      </w:pPr>
      <w:r>
        <w:t>Programme level</w:t>
      </w:r>
    </w:p>
    <w:p>
      <w:r>
        <w:rPr/>
        <w:t>Programme-level figures are available for programmes with 20 or more graduates in a group. For 1052 graduates in this Faculty only Somatic Wellbeing Enquiry meets the threshold in both groups; the remaining programmes are either two-year programmes without honours classification or have too few graduates to report. The Faculty should be cautious about any programme-level claim.</w:t>
      </w:r>
    </w:p>
    <w:p>
      <w:pPr>
        <w:pStyle w:val="Heading2"/>
      </w:pPr>
      <w:r>
        <w:t>Recommendations</w:t>
      </w:r>
    </w:p>
    <w:p>
      <w:pPr>
        <w:pStyle w:val="ListNumber"/>
      </w:pPr>
      <w:r>
        <w:rPr/>
        <w:t>Report the five-year table, not the single-year figure.</w:t>
      </w:r>
    </w:p>
    <w:p>
      <w:pPr>
        <w:pStyle w:val="ListNumber"/>
      </w:pPr>
      <w:r>
        <w:rPr/>
        <w:t>Target first-year engagement and first-semester support, where the evidence is.</w:t>
      </w:r>
    </w:p>
    <w:p>
      <w:pPr>
        <w:pStyle w:val="ListNumber"/>
      </w:pPr>
      <w:r>
        <w:rPr/>
        <w:t>Do not set a target expressed as a single-year gap figure; the number will move by several points for reasons unrelated to any action.</w:t>
      </w:r>
    </w:p>
    <w:p>
      <w:pPr>
        <w:pStyle w:val="ListNumber"/>
      </w:pPr>
      <w:r>
        <w:rPr/>
        <w:t>Ask Planning and Insight before quoting a programme-level figure.</w:t>
      </w:r>
    </w:p>
    <w:p>
      <w:r>
        <w:rPr/>
        <w:t>Quorin Deepmirror, Head of Planning and Insight Erra Measurine, Senior Insight Analyst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Awarding Gap Annual Report 1051-52</dc:title>
  <dc:subject/>
  <dc:creator>Erra Measurine</dc:creator>
  <cp:keywords/>
  <dc:description>generated by python-docx</dc:description>
  <cp:lastModifiedBy>Quorin Deepmirror</cp:lastModifiedBy>
  <cp:revision>1</cp:revision>
  <dcterms:created xsi:type="dcterms:W3CDTF">2025-11-03T10:30:00Z</dcterms:created>
  <dcterms:modified xsi:type="dcterms:W3CDTF">2025-11-10T10:30:00Z</dcterms:modified>
  <cp:category>Internal</cp:category>
</cp:coreProperties>
</file>