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External Examiner's Annual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/>
        </w:tc>
        <w:tc>
          <w:tcPr>
            <w:tcW w:type="dxa" w:w="4320"/>
          </w:tcPr>
          <w:p/>
        </w:tc>
      </w:tr>
      <w:tr>
        <w:tc>
          <w:tcPr>
            <w:tcW w:type="dxa" w:w="4320"/>
          </w:tcPr>
          <w:p>
            <w:r>
              <w:rPr/>
              <w:t>Institution</w:t>
            </w:r>
          </w:p>
        </w:tc>
        <w:tc>
          <w:tcPr>
            <w:tcW w:type="dxa" w:w="4320"/>
          </w:tcPr>
          <w:p>
            <w:r>
              <w:rPr/>
              <w:t>Stonegrove University</w:t>
            </w:r>
          </w:p>
        </w:tc>
      </w:tr>
      <w:tr>
        <w:tc>
          <w:tcPr>
            <w:tcW w:type="dxa" w:w="4320"/>
          </w:tcPr>
          <w:p>
            <w:r>
              <w:rPr/>
              <w:t>Programme</w:t>
            </w:r>
          </w:p>
        </w:tc>
        <w:tc>
          <w:tcPr>
            <w:tcW w:type="dxa" w:w="4320"/>
          </w:tcPr>
          <w:p>
            <w:r>
              <w:rPr/>
              <w:t>BSc (Hons) Occupational Therapy</w:t>
            </w:r>
          </w:p>
        </w:tc>
      </w:tr>
      <w:tr>
        <w:tc>
          <w:tcPr>
            <w:tcW w:type="dxa" w:w="4320"/>
          </w:tcPr>
          <w:p>
            <w:r>
              <w:rPr/>
              <w:t>External examiner</w:t>
            </w:r>
          </w:p>
        </w:tc>
        <w:tc>
          <w:tcPr>
            <w:tcW w:type="dxa" w:w="4320"/>
          </w:tcPr>
          <w:p>
            <w:r>
              <w:rPr/>
              <w:t>Dr Marenel Boughwitness, Elder Grove University</w:t>
            </w:r>
          </w:p>
        </w:tc>
      </w:tr>
      <w:tr>
        <w:tc>
          <w:tcPr>
            <w:tcW w:type="dxa" w:w="4320"/>
          </w:tcPr>
          <w:p>
            <w:r>
              <w:rPr/>
              <w:t>Academic year</w:t>
            </w:r>
          </w:p>
        </w:tc>
        <w:tc>
          <w:tcPr>
            <w:tcW w:type="dxa" w:w="4320"/>
          </w:tcPr>
          <w:p>
            <w:r>
              <w:rPr/>
              <w:t>1051-52</w:t>
            </w:r>
          </w:p>
        </w:tc>
      </w:tr>
      <w:tr>
        <w:tc>
          <w:tcPr>
            <w:tcW w:type="dxa" w:w="4320"/>
          </w:tcPr>
          <w:p>
            <w:r>
              <w:rPr/>
              <w:t>Year of tenure</w:t>
            </w:r>
          </w:p>
        </w:tc>
        <w:tc>
          <w:tcPr>
            <w:tcW w:type="dxa" w:w="4320"/>
          </w:tcPr>
          <w:p>
            <w:r>
              <w:rPr/>
              <w:t>3 of 4</w:t>
            </w:r>
          </w:p>
        </w:tc>
      </w:tr>
      <w:tr>
        <w:tc>
          <w:tcPr>
            <w:tcW w:type="dxa" w:w="4320"/>
          </w:tcPr>
          <w:p>
            <w:r>
              <w:rPr/>
              <w:t>Date</w:t>
            </w:r>
          </w:p>
        </w:tc>
        <w:tc>
          <w:tcPr>
            <w:tcW w:type="dxa" w:w="4320"/>
          </w:tcPr>
          <w:p>
            <w:r>
              <w:rPr/>
              <w:t>30 July 1052</w:t>
            </w:r>
          </w:p>
        </w:tc>
      </w:tr>
    </w:tbl>
    <w:p>
      <w:pPr>
        <w:pStyle w:val="Heading2"/>
      </w:pPr>
      <w:r>
        <w:t>1. Standards</w:t>
      </w:r>
    </w:p>
    <w:p>
      <w:r>
        <w:rPr/>
        <w:t>Appropriate and comparable with those at Elder Grove and elsewhere.</w:t>
      </w:r>
    </w:p>
    <w:p>
      <w:pPr>
        <w:pStyle w:val="Heading2"/>
      </w:pPr>
      <w:r>
        <w:t>2. Student performance</w:t>
      </w:r>
    </w:p>
    <w:p>
      <w:r>
        <w:rPr/>
        <w:t>Good. The dissertations were again strong. I was less sure of the Year 2 coursework this year, not because of its quality but because of its quantity: several students' work across the year read as if written in haste, and the reflective accounts say as much.</w:t>
      </w:r>
    </w:p>
    <w:p>
      <w:pPr>
        <w:pStyle w:val="Heading2"/>
      </w:pPr>
      <w:r>
        <w:t>3. Assessment and marking</w:t>
      </w:r>
    </w:p>
    <w:p>
      <w:r>
        <w:rPr/>
        <w:t>Marking is accurate at programme level. I return to the matter I raised last year concerning one marker on a Year 2 module whose marks sit below the moderated marks. The gap is wider this year than last and moderation adjusted eleven of fourteen marks. I do not doubt the marker's judgement of the work; I doubt their calibration to the programme's criteria, and I would ask that the programme team address this directly rather than through moderation, which treats the symptom. I am content for this paragraph to be treated as reserved business if the team prefers.</w:t>
      </w:r>
    </w:p>
    <w:p>
      <w:pPr>
        <w:pStyle w:val="Heading2"/>
      </w:pPr>
      <w:r>
        <w:t>4. Matters for the programme team's attention</w:t>
      </w:r>
    </w:p>
    <w:p>
      <w:r>
        <w:rPr/>
        <w:t>I note once again, for the third year, that Year 2 carries twelve summative assessment points, and that the programme's responses to my two previous reports have each stated that the matter is under review. I would ask, with respect, that the review conclude. I understand that the programme is approaching revalidation and I would hope that the revalidation panel will consider this.</w:t>
      </w:r>
    </w:p>
    <w:p>
      <w:pPr>
        <w:pStyle w:val="Heading2"/>
      </w:pPr>
      <w:r>
        <w:t>5. Examination Board</w:t>
      </w:r>
    </w:p>
    <w:p>
      <w:r>
        <w:rPr/>
        <w:t>Well conducted. I would add that the Board's papers arrived four days late this year, which I mention only because it has not happened before.</w:t>
      </w:r>
    </w:p>
    <w:p>
      <w:pPr>
        <w:pStyle w:val="Heading2"/>
      </w:pPr>
      <w:r>
        <w:t>6. Response</w:t>
      </w:r>
    </w:p>
    <w:p>
      <w:r>
        <w:rPr/>
        <w:t>I look forward to the programme team's response, and, I hope, to a different one.</w:t>
      </w:r>
    </w:p>
    <w:p>
      <w:r>
        <w:rPr/>
        <w:t>M. Boughwitness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External examiner report Occupational Therapy 1052</dc:title>
  <dc:subject/>
  <dc:creator>Marenel Boughwitness</dc:creator>
  <cp:keywords/>
  <dc:description>generated by python-docx</dc:description>
  <cp:lastModifiedBy>Ollir Greenquill</cp:lastModifiedBy>
  <cp:revision>1</cp:revision>
  <dcterms:created xsi:type="dcterms:W3CDTF">2025-07-22T10:30:00Z</dcterms:created>
  <dcterms:modified xsi:type="dcterms:W3CDTF">2025-07-30T10:30:00Z</dcterms:modified>
  <cp:category>Internal</cp:category>
</cp:coreProperties>
</file>