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Academic Regulations, Part G: Academic Misconduct</w:t>
      </w:r>
    </w:p>
    <w:p>
      <w:r>
        <w:rPr/>
        <w:t>Edition 1052-53.</w:t>
      </w:r>
    </w:p>
    <w:p>
      <w:pPr>
        <w:pStyle w:val="Heading2"/>
      </w:pPr>
      <w:r>
        <w:t>G1. Definition</w:t>
      </w:r>
    </w:p>
    <w:p>
      <w:r>
        <w:rPr/>
        <w:t>G1.1 Academic misconduct is any act or omission by which a student seeks to obtain for themselves or another an unfair academic advantage, or which undermines the integrity of assessment. It includes plagiarism, collusion, contract cheating, fabrication of data, impersonation, cheating in examinations, and the submission of work generated in whole or substantial part by an artificial intelligence tool where the assessment brief does not permit it or where the use is not declared as the brief requires.</w:t>
      </w:r>
    </w:p>
    <w:p>
      <w:pPr>
        <w:pStyle w:val="Heading2"/>
      </w:pPr>
      <w:r>
        <w:t>G2. Reporting</w:t>
      </w:r>
    </w:p>
    <w:p>
      <w:r>
        <w:rPr/>
        <w:t>G2.1 A marker who suspects academic misconduct shall not mark the work and shall refer it to the Faculty Academic Integrity Officer with a written statement of the grounds.</w:t>
      </w:r>
    </w:p>
    <w:p>
      <w:pPr>
        <w:pStyle w:val="Heading2"/>
      </w:pPr>
      <w:r>
        <w:t>G3. Investigation</w:t>
      </w:r>
    </w:p>
    <w:p>
      <w:r>
        <w:rPr/>
        <w:t>G3.1 The Officer shall consider the referral and may dismiss it, deal with it as poor academic practice (with feedback and no penalty, for a first instance at level one), or refer it to an Academic Misconduct Panel.</w:t>
      </w:r>
    </w:p>
    <w:p>
      <w:pPr>
        <w:pStyle w:val="Heading2"/>
      </w:pPr>
      <w:r>
        <w:t>G4. Panel and penalties</w:t>
      </w:r>
    </w:p>
    <w:p>
      <w:r>
        <w:rPr/>
        <w:t>G4.1 The Panel shall hear the student, who may be accompanied. Penalties range from a formal warning, through a mark of zero for the component or the module, to, for the most serious or repeated cases, termination of registration.</w:t>
      </w:r>
    </w:p>
    <w:p>
      <w:r>
        <w:rPr/>
        <w:t>G4.2 On a regulated programme a finding of dishonesty shall additionally be referred to the Fitness to Practise Lead.</w:t>
      </w:r>
    </w:p>
    <w:p>
      <w:pPr>
        <w:pStyle w:val="Heading2"/>
      </w:pPr>
      <w:r>
        <w:t>G5. Record</w:t>
      </w:r>
    </w:p>
    <w:p>
      <w:r>
        <w:rPr/>
        <w:t>G5.1 Findings shall be recorded on the student's file and shall be disclosed in references only where the student consents or the receiving body is a professional regulator with a right to the information.</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PUBLIC    Stonegrove University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Misconduct Regulation</dc:title>
  <dc:subject/>
  <dc:creator>Brynja Cragshield</dc:creator>
  <cp:keywords/>
  <dc:description>generated by python-docx</dc:description>
  <cp:lastModifiedBy>Brynja Cragshield</cp:lastModifiedBy>
  <cp:revision>1</cp:revision>
  <dcterms:created xsi:type="dcterms:W3CDTF">2023-07-01T10:30:00Z</dcterms:created>
  <dcterms:modified xsi:type="dcterms:W3CDTF">2025-08-15T10:30:00Z</dcterms:modified>
  <cp:category>Public</cp:category>
</cp:coreProperties>
</file>