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Academic Regulations, Part D: Progression and Award</w:t>
      </w:r>
    </w:p>
    <w:p>
      <w:r>
        <w:rPr/>
        <w:t>Edition 1052-53.</w:t>
      </w:r>
    </w:p>
    <w:p>
      <w:pPr>
        <w:pStyle w:val="Heading2"/>
      </w:pPr>
      <w:r>
        <w:t>D1. Progression</w:t>
      </w:r>
    </w:p>
    <w:p>
      <w:r>
        <w:rPr/>
        <w:t>D1.1 A student shall progress from one level to the next on passing, or being compensated in, all modules at the lower level, in accordance with Part B.</w:t>
      </w:r>
    </w:p>
    <w:p>
      <w:r>
        <w:rPr/>
        <w:t>D1.2 A student who has not satisfied D1.1 after reassessment may, at the discretion of the Examination Board, be permitted to repeat the failed modules with attendance in the following year, once only, or may be required to withdraw.</w:t>
      </w:r>
    </w:p>
    <w:p>
      <w:r>
        <w:rPr/>
        <w:t>D1.3 Placement and practice modules shall be passed before the student may undertake the placement or practice module at the next level.</w:t>
      </w:r>
    </w:p>
    <w:p>
      <w:pPr>
        <w:pStyle w:val="Heading2"/>
      </w:pPr>
      <w:r>
        <w:t>D2. Award</w:t>
      </w:r>
    </w:p>
    <w:p>
      <w:r>
        <w:rPr/>
        <w:t>D2.1 The Diploma of Higher Education shall be awarded to a student who has passed, or been compensated in, 240 credits across levels one and two of a two-year programme. The Diploma is not classified.</w:t>
      </w:r>
    </w:p>
    <w:p>
      <w:r>
        <w:rPr/>
        <w:t>D2.2 The Bachelor's degree with Honours shall be awarded to a student who has passed, or been compensated in, 360 credits across levels one, two and three of a three-year programme.</w:t>
      </w:r>
    </w:p>
    <w:p>
      <w:pPr>
        <w:pStyle w:val="Heading2"/>
      </w:pPr>
      <w:r>
        <w:t>D3. Classification</w:t>
      </w:r>
    </w:p>
    <w:p>
      <w:r>
        <w:rPr/>
        <w:t>D3.1 The honours classification shall be determined by the credit-weighted mean of module marks at levels two and three, weighted one third to level two and two thirds to level three. Level one marks shall not contribute to classification.</w:t>
      </w:r>
    </w:p>
    <w:p>
      <w:r>
        <w:rPr/>
        <w:t>D3.2 The classification boundaries are: First Class, seventy per cent and above; Upper Second Class, sixty to sixty-nine; Lower Second Class, fifty to fifty-nine; Third Class, forty to forty-nine.</w:t>
      </w:r>
    </w:p>
    <w:p>
      <w:r>
        <w:rPr/>
        <w:t>D3.3 Where the weighted mean falls within two percentage points below a classification boundary, the Examination Board shall consider the profile of the student's marks and may award the higher classification where not less than half of the credits at level three are at or above the higher boundary.</w:t>
      </w:r>
    </w:p>
    <w:p>
      <w:pPr>
        <w:pStyle w:val="Heading2"/>
      </w:pPr>
      <w:r>
        <w:t>D4. Examination Boards</w:t>
      </w:r>
    </w:p>
    <w:p>
      <w:r>
        <w:rPr/>
        <w:t>D4.1 Each Faculty shall hold Examination Boards for each level of each programme at the end of each academic year and after the reassessment period. Boards shall be quorate with the Chair, the external examiner for the programme (or written comments in lieu), and not fewer than three internal examiners.</w:t>
      </w:r>
    </w:p>
    <w:p>
      <w:r>
        <w:rPr/>
        <w:t>D4.2 The Board shall confirm module marks, apply compensation and reassessment decisions, determine progression, and recommend awards and classifications to Senate.</w:t>
      </w:r>
    </w:p>
    <w:p>
      <w:r>
        <w:rPr/>
        <w:t>D4.3 Papers for Examination Boards shall identify students by student number only and shall be classified Confidential.</w:t>
      </w:r>
    </w:p>
    <w:p>
      <w:pPr>
        <w:pStyle w:val="Heading2"/>
      </w:pPr>
      <w:r>
        <w:t>D5. Monitoring of outcomes</w:t>
      </w:r>
    </w:p>
    <w:p>
      <w:r>
        <w:rPr/>
        <w:t>D5.1 Planning and Insight shall report annually to Senate and Council on outcomes by programme, including rates of good honours by species and other protected characteristics, in accordance with the University's published methodology. Programme-level figures shall be suppressed where fewer than twenty students are in a group.</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PUBLIC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Progression and Award Regulations</dc:title>
  <dc:subject/>
  <dc:creator>Brynja Cragshield</dc:creator>
  <cp:keywords/>
  <dc:description>generated by python-docx</dc:description>
  <cp:lastModifiedBy>Brynja Cragshield</cp:lastModifiedBy>
  <cp:revision>1</cp:revision>
  <dcterms:created xsi:type="dcterms:W3CDTF">2023-07-01T10:30:00Z</dcterms:created>
  <dcterms:modified xsi:type="dcterms:W3CDTF">2025-08-15T10:30:00Z</dcterms:modified>
  <cp:category>Public</cp:category>
</cp:coreProperties>
</file>