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Faculty of Health and Education</w:t>
      </w:r>
    </w:p>
    <w:p>
      <w:pPr>
        <w:pStyle w:val="Heading2"/>
      </w:pPr>
      <w:r>
        <w:t>Strategy 1052 to 1055</w:t>
      </w:r>
    </w:p>
    <w:p>
      <w:r>
        <w:rPr/>
        <w:t>Approved by Faculty Management Group, 20 September 1052.</w:t>
      </w:r>
    </w:p>
    <w:p>
      <w:pPr>
        <w:pStyle w:val="Heading2"/>
      </w:pPr>
      <w:r>
        <w:t>Our purpose</w:t>
      </w:r>
    </w:p>
    <w:p>
      <w:r>
        <w:rPr/>
        <w:t>We educate the people who care for, teach and support others: nurses, midwives, therapists, pharmacists, social workers, teachers and mentors. Our graduates go into work that matters on the first day and every day after. Our purpose is to make them ready for it and to keep making ourselves better at doing so.</w:t>
      </w:r>
    </w:p>
    <w:p>
      <w:pPr>
        <w:pStyle w:val="Heading2"/>
      </w:pPr>
      <w:r>
        <w:t>Where we are</w:t>
      </w:r>
    </w:p>
    <w:p>
      <w:r>
        <w:rPr/>
        <w:t>The Faculty has 2729 students across twelve programmes in two departments. Demand for our regulated programmes is strong. Our placement network of around thirty providers is the Faculty's most valuable asset and its most fragile.</w:t>
      </w:r>
    </w:p>
    <w:p>
      <w:r>
        <w:rPr/>
        <w:t>We know three things about ourselves that we do not like. Our Dwarf graduates are awarded good honours less often than our Elf graduates, by 18.9 percentage points for 1052 graduates, for reasons that sit in the circumstances students arrive with and in what we do in the first year. Our students on three-year programmes tell us that assessment and feedback in the second year is too heavy and too slow. And our administration runs on individuals rather than systems.</w:t>
      </w:r>
    </w:p>
    <w:p>
      <w:pPr>
        <w:pStyle w:val="Heading2"/>
      </w:pPr>
      <w:r>
        <w:t>Four aims</w:t>
      </w:r>
    </w:p>
    <w:p>
      <w:pPr>
        <w:pStyle w:val="Heading3"/>
      </w:pPr>
      <w:r>
        <w:t>1. Close the gap where it starts</w:t>
      </w:r>
    </w:p>
    <w:p>
      <w:r>
        <w:rPr/>
        <w:t>Direct effort at the first year: engagement, support, early feedback. Set no single-year target; report the five-year trend. Ask Planning and Insight what works before scaling anything.</w:t>
      </w:r>
    </w:p>
    <w:p>
      <w:pPr>
        <w:pStyle w:val="Heading3"/>
      </w:pPr>
      <w:r>
        <w:t>2. Assess less, feed back faster</w:t>
      </w:r>
    </w:p>
    <w:p>
      <w:r>
        <w:rPr/>
        <w:t>Every programme to review its Year 2 assessment load by 1053-54. Feedback within fifteen working days as a Faculty standard, measured.</w:t>
      </w:r>
    </w:p>
    <w:p>
      <w:pPr>
        <w:pStyle w:val="Heading3"/>
      </w:pPr>
      <w:r>
        <w:t>3. Build the systems the people deserve</w:t>
      </w:r>
    </w:p>
    <w:p>
      <w:r>
        <w:rPr/>
        <w:t>Placements, student records and mandatory training tracking to move from spreadsheets and individuals to supported systems by 1054-55, starting with placements.</w:t>
      </w:r>
    </w:p>
    <w:p>
      <w:pPr>
        <w:pStyle w:val="Heading3"/>
      </w:pPr>
      <w:r>
        <w:t>4. One Faculty</w:t>
      </w:r>
    </w:p>
    <w:p>
      <w:r>
        <w:rPr/>
        <w:t>Two departments, twelve programmes, one name, one set of templates, one way of doing things where it does not need to be twelve. Use the University brand and the corporate templates. Share what works.</w:t>
      </w:r>
    </w:p>
    <w:p>
      <w:pPr>
        <w:pStyle w:val="Heading2"/>
      </w:pPr>
      <w:r>
        <w:t>How we will know</w:t>
      </w:r>
    </w:p>
    <w:p>
      <w:r>
        <w:rPr/>
        <w:t>Annual report to Faculty Management Group against the four aims, with figures from Planning and Insight, in October each year.</w:t>
      </w:r>
    </w:p>
    <w:p>
      <w:r>
        <w:rPr/>
        <w:t>Professor Cyranor Goldmantle, Dean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Strategy 1052-55</dc:title>
  <dc:subject/>
  <dc:creator>Cyranor Goldmantle</dc:creator>
  <cp:keywords/>
  <dc:description>generated by python-docx</dc:description>
  <cp:lastModifiedBy>Brekka Anvildancer</cp:lastModifiedBy>
  <cp:revision>1</cp:revision>
  <dcterms:created xsi:type="dcterms:W3CDTF">2025-06-01T10:30:00Z</dcterms:created>
  <dcterms:modified xsi:type="dcterms:W3CDTF">2025-09-20T10:30:00Z</dcterms:modified>
  <cp:category>Internal</cp:category>
</cp:coreProperties>
</file>