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Faculty Management Group</w:t>
      </w:r>
    </w:p>
    <w:p>
      <w:pPr>
        <w:pStyle w:val="Heading2"/>
      </w:pPr>
      <w:r>
        <w:t>Minutes of the meeting held on 19 March 1053</w:t>
      </w:r>
    </w:p>
    <w:p>
      <w:r>
        <w:rPr>
          <w:i/>
        </w:rPr>
        <w:t>Draft minutes generated by Cloudi from the meeting transcript. To be checked. E.F.</w:t>
      </w:r>
    </w:p>
    <w:p>
      <w:r>
        <w:rPr>
          <w:b/>
        </w:rPr>
        <w:t>Present:</w:t>
      </w:r>
      <w:r>
        <w:rPr/>
        <w:t xml:space="preserve"> Professor Cyranor Goldmantle (Dean, Chair), Dr Hrogar Dourstone (Head of Department of Health), Dr Saelith Emberthorn (Head of Department of Education), Brekka Anvildancer (Faculty Operations Manager), Dagna Chiselhand (Programme Leader, Nursing and Care), Dr Caerel Candletome (Programme Leader, Occupational Therapy), Dr Nyssa Memoryvault (Fitness to Practise Lead), Jaskel Doodlehook (Senior Lecturer), Quorin Deepmirror (Head of Planning and Insight), Elowen Fogwhisper (Executive Officer, minutes).</w:t>
      </w:r>
    </w:p>
    <w:p>
      <w:r>
        <w:rPr>
          <w:b/>
        </w:rPr>
        <w:t>Apologies:</w:t>
      </w:r>
      <w:r>
        <w:rPr/>
        <w:t xml:space="preserve"> None.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1</w:t>
            </w:r>
          </w:p>
        </w:tc>
        <w:tc>
          <w:tcPr>
            <w:tcW w:type="dxa" w:w="2880"/>
          </w:tcPr>
          <w:p>
            <w:r>
              <w:rPr>
                <w:b/>
              </w:rPr>
              <w:t>Minutes of the previous meeting.</w:t>
            </w:r>
            <w:r>
              <w:rPr/>
              <w:t xml:space="preserve"> The minutes were APPROVED subject to a correction at item 6.4: the Faculty Operations Manager had agreed to ask teams to review the migrated library rather than to review it herself.</w:t>
            </w:r>
          </w:p>
        </w:tc>
        <w:tc>
          <w:tcPr>
            <w:tcW w:type="dxa" w:w="2880"/>
          </w:tcPr>
          <w:p/>
        </w:tc>
      </w:tr>
      <w:tr>
        <w:tc>
          <w:tcPr>
            <w:tcW w:type="dxa" w:w="2880"/>
          </w:tcPr>
          <w:p>
            <w:r>
              <w:rPr/>
              <w:t>2</w:t>
            </w:r>
          </w:p>
        </w:tc>
        <w:tc>
          <w:tcPr>
            <w:tcW w:type="dxa" w:w="2880"/>
          </w:tcPr>
          <w:p>
            <w:r>
              <w:rPr>
                <w:b/>
              </w:rPr>
              <w:t>Awarding gap paper for Council.</w:t>
            </w:r>
            <w:r>
              <w:rPr/>
              <w:t xml:space="preserve"> The Dean reported that Council required a paper on the Faculty awarding gap for its May meeting and that a draft had been prepared. The Head of Planning and Insight had raised concerns about the figures. Following discussion, the Group AGREED that Planning and Insight would supply the figures section and the Dean's Office the remainder.</w:t>
            </w:r>
          </w:p>
        </w:tc>
        <w:tc>
          <w:tcPr>
            <w:tcW w:type="dxa" w:w="2880"/>
          </w:tcPr>
          <w:p>
            <w:r>
              <w:rPr/>
              <w:t>ACTION: Dr Candletome to produce the Council paper on the awarding gap by 30 April.</w:t>
            </w:r>
          </w:p>
        </w:tc>
      </w:tr>
      <w:tr>
        <w:tc>
          <w:tcPr>
            <w:tcW w:type="dxa" w:w="2880"/>
          </w:tcPr>
          <w:p>
            <w:r>
              <w:rPr/>
              <w:t>3</w:t>
            </w:r>
          </w:p>
        </w:tc>
        <w:tc>
          <w:tcPr>
            <w:tcW w:type="dxa" w:w="2880"/>
          </w:tcPr>
          <w:p>
            <w:r>
              <w:rPr>
                <w:b/>
              </w:rPr>
              <w:t>National Student Survey.</w:t>
            </w:r>
            <w:r>
              <w:rPr/>
              <w:t xml:space="preserve"> The Head of Department of Education reported that the departmental action plan was at version five and that fortnightly feedback workshops had begun. The Group RECOGNISED the Department's work.</w:t>
            </w:r>
          </w:p>
        </w:tc>
        <w:tc>
          <w:tcPr>
            <w:tcW w:type="dxa" w:w="2880"/>
          </w:tcPr>
          <w:p/>
        </w:tc>
      </w:tr>
      <w:tr>
        <w:tc>
          <w:tcPr>
            <w:tcW w:type="dxa" w:w="2880"/>
          </w:tcPr>
          <w:p>
            <w:r>
              <w:rPr/>
              <w:t>4</w:t>
            </w:r>
          </w:p>
        </w:tc>
        <w:tc>
          <w:tcPr>
            <w:tcW w:type="dxa" w:w="2880"/>
          </w:tcPr>
          <w:p>
            <w:r>
              <w:rPr>
                <w:b/>
              </w:rPr>
              <w:t>Occupational Therapy revalidation.</w:t>
            </w:r>
            <w:r>
              <w:rPr/>
              <w:t xml:space="preserve"> Dr Candletome reported two conditions from the panel of 12 March: a reduction in Year 2 assessment load and a student-facing extenuating circumstances guide. The response to conditions is due on 30 April.</w:t>
            </w:r>
          </w:p>
        </w:tc>
        <w:tc>
          <w:tcPr>
            <w:tcW w:type="dxa" w:w="2880"/>
          </w:tcPr>
          <w:p>
            <w:r>
              <w:rPr/>
              <w:t>Dr Candletome: response to conditions, 30 April.</w:t>
            </w:r>
          </w:p>
        </w:tc>
      </w:tr>
      <w:tr>
        <w:tc>
          <w:tcPr>
            <w:tcW w:type="dxa" w:w="2880"/>
          </w:tcPr>
          <w:p>
            <w:r>
              <w:rPr/>
              <w:t>5</w:t>
            </w:r>
          </w:p>
        </w:tc>
        <w:tc>
          <w:tcPr>
            <w:tcW w:type="dxa" w:w="2880"/>
          </w:tcPr>
          <w:p>
            <w:r>
              <w:rPr>
                <w:b/>
              </w:rPr>
              <w:t>Placements.</w:t>
            </w:r>
            <w:r>
              <w:rPr/>
              <w:t xml:space="preserve"> The Programme Leader for Nursing and Care reported on handover arrangements ahead of the Placements Coordinator's leave from 19 May and on the resubmission of a Digital Services request for a placements system. The Dean AGREED to sign the request.</w:t>
            </w:r>
          </w:p>
        </w:tc>
        <w:tc>
          <w:tcPr>
            <w:tcW w:type="dxa" w:w="2880"/>
          </w:tcPr>
          <w:p>
            <w:r>
              <w:rPr/>
              <w:t>Dagna Chiselhand: resubmit request by 12 May. Dean: sign.</w:t>
            </w:r>
          </w:p>
        </w:tc>
      </w:tr>
      <w:tr>
        <w:tc>
          <w:tcPr>
            <w:tcW w:type="dxa" w:w="2880"/>
          </w:tcPr>
          <w:p>
            <w:r>
              <w:rPr/>
              <w:t>6</w:t>
            </w:r>
          </w:p>
        </w:tc>
        <w:tc>
          <w:tcPr>
            <w:tcW w:type="dxa" w:w="2880"/>
          </w:tcPr>
          <w:p>
            <w:r>
              <w:rPr>
                <w:b/>
              </w:rPr>
              <w:t>Department of Education open day materials.</w:t>
            </w:r>
            <w:r>
              <w:rPr/>
              <w:t xml:space="preserve"> Mr Doodlehook presented a new logo and leaflet for the Department of Education. The Group APPROVED the Department of Education's new logo for use on open day materials.</w:t>
            </w:r>
          </w:p>
        </w:tc>
        <w:tc>
          <w:tcPr>
            <w:tcW w:type="dxa" w:w="2880"/>
          </w:tcPr>
          <w:p/>
        </w:tc>
      </w:tr>
      <w:tr>
        <w:tc>
          <w:tcPr>
            <w:tcW w:type="dxa" w:w="2880"/>
          </w:tcPr>
          <w:p>
            <w:r>
              <w:rPr/>
              <w:t>7</w:t>
            </w:r>
          </w:p>
        </w:tc>
        <w:tc>
          <w:tcPr>
            <w:tcW w:type="dxa" w:w="2880"/>
          </w:tcPr>
          <w:p>
            <w:r>
              <w:rPr>
                <w:b/>
              </w:rPr>
              <w:t>Car parking.</w:t>
            </w:r>
            <w:r>
              <w:rPr/>
              <w:t xml:space="preserve"> The Faculty Operations Manager reported that the overflow car park was being used by Infirmary placement students and that she had written to the Infirmary.</w:t>
            </w:r>
          </w:p>
        </w:tc>
        <w:tc>
          <w:tcPr>
            <w:tcW w:type="dxa" w:w="2880"/>
          </w:tcPr>
          <w:p/>
        </w:tc>
      </w:tr>
      <w:tr>
        <w:tc>
          <w:tcPr>
            <w:tcW w:type="dxa" w:w="2880"/>
          </w:tcPr>
          <w:p>
            <w:r>
              <w:rPr/>
              <w:t>8</w:t>
            </w:r>
          </w:p>
        </w:tc>
        <w:tc>
          <w:tcPr>
            <w:tcW w:type="dxa" w:w="2880"/>
          </w:tcPr>
          <w:p>
            <w:r>
              <w:rPr>
                <w:b/>
              </w:rPr>
              <w:t>Date of next meeting.</w:t>
            </w:r>
            <w:r>
              <w:rPr/>
              <w:t xml:space="preserve"> 16 April 1053.</w:t>
            </w:r>
          </w:p>
        </w:tc>
        <w:tc>
          <w:tcPr>
            <w:tcW w:type="dxa" w:w="2880"/>
          </w:tcPr>
          <w:p/>
        </w:tc>
      </w:tr>
    </w:tbl>
    <w:p>
      <w:r>
        <w:rPr>
          <w:i/>
        </w:rPr>
        <w:t>End of generated minutes.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FMG 19 March AI minutes DRAFT</dc:title>
  <dc:subject/>
  <dc:creator>Elowen Fogwhisper</dc:creator>
  <cp:keywords/>
  <dc:description>generated by python-docx</dc:description>
  <cp:lastModifiedBy>Elowen Fogwhisper</cp:lastModifiedBy>
  <cp:revision>1</cp:revision>
  <dcterms:created xsi:type="dcterms:W3CDTF">2026-03-20T10:30:00Z</dcterms:created>
  <dcterms:modified xsi:type="dcterms:W3CDTF">2026-03-20T10:30:00Z</dcterms:modified>
  <cp:category>Internal</cp:category>
</cp:coreProperties>
</file>