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Academic Regulations, Part E: Fitness to Practise</w:t>
      </w:r>
    </w:p>
    <w:p>
      <w:r>
        <w:rPr/>
        <w:t>Edition 1052-53. Applies to students on programmes leading to professional registration.</w:t>
      </w:r>
    </w:p>
    <w:p>
      <w:pPr>
        <w:pStyle w:val="Heading2"/>
      </w:pPr>
      <w:r>
        <w:t>E1. Purpose</w:t>
      </w:r>
    </w:p>
    <w:p>
      <w:r>
        <w:rPr/>
        <w:t>E1.1 The University has a duty to be satisfied that students on regulated programmes are fit to practise in their intended profession, and to act where there is reason to believe that a student's health or conduct may place patients, service users, the public or the student at risk.</w:t>
      </w:r>
    </w:p>
    <w:p>
      <w:pPr>
        <w:pStyle w:val="Heading2"/>
      </w:pPr>
      <w:r>
        <w:t>E2. Referral</w:t>
      </w:r>
    </w:p>
    <w:p>
      <w:r>
        <w:rPr/>
        <w:t>E2.1 Any member of staff, placement provider or student may refer a concern to the Fitness to Practise Lead for the programme. Referrals shall be made in writing and shall set out the facts giving rise to the concern.</w:t>
      </w:r>
    </w:p>
    <w:p>
      <w:r>
        <w:rPr/>
        <w:t>E2.2 On receipt of a referral the Lead shall make an initial assessment and may: take no further action; refer the matter to be dealt with under another procedure; agree an informal resolution with the student; or convene a Fitness to Practise Panel.</w:t>
      </w:r>
    </w:p>
    <w:p>
      <w:r>
        <w:rPr/>
        <w:t>E2.3 Where a referral arises on placement, the Lead may suspend the student from placement pending the outcome. Suspension is a neutral act and shall not be recorded as a finding.</w:t>
      </w:r>
    </w:p>
    <w:p>
      <w:pPr>
        <w:pStyle w:val="Heading2"/>
      </w:pPr>
      <w:r>
        <w:t>E3. The Panel</w:t>
      </w:r>
    </w:p>
    <w:p>
      <w:r>
        <w:rPr/>
        <w:t>E3.1 A Panel shall comprise a Chair from outside the Department, one registrant of the relevant profession, and one member of academic staff. The Lead shall present the case and shall not be a member of the Panel.</w:t>
      </w:r>
    </w:p>
    <w:p>
      <w:r>
        <w:rPr/>
        <w:t>E3.2 The student shall receive the case summary and the evidence not less than five working days before the Panel, may be accompanied, may submit a written statement, and may call witnesses.</w:t>
      </w:r>
    </w:p>
    <w:p>
      <w:r>
        <w:rPr/>
        <w:t>E3.3 Papers shall be classified Confidential, circulated to Panel members individually, and destroyed by Panel members after the Panel. Panel members shall not retain papers in any personal, team or shared location.</w:t>
      </w:r>
    </w:p>
    <w:p>
      <w:pPr>
        <w:pStyle w:val="Heading2"/>
      </w:pPr>
      <w:r>
        <w:t>E4. Outcomes</w:t>
      </w:r>
    </w:p>
    <w:p>
      <w:r>
        <w:rPr/>
        <w:t>E4.1 The Panel may find that there is no fitness to practise concern; that there is a concern which does not require action; or that there is a concern which requires one or more of: a formal warning; conditions on continuation or return to placement; a requirement for a reflective account or further training; suspension from the programme for a stated period; or removal from the programme.</w:t>
      </w:r>
    </w:p>
    <w:p>
      <w:r>
        <w:rPr/>
        <w:t>E4.2 The Panel shall distinguish between error and dishonesty. An honest error, promptly reported, shall not of itself be treated as evidence of unfitness.</w:t>
      </w:r>
    </w:p>
    <w:p>
      <w:pPr>
        <w:pStyle w:val="Heading2"/>
      </w:pPr>
      <w:r>
        <w:t>E5. Record</w:t>
      </w:r>
    </w:p>
    <w:p>
      <w:r>
        <w:rPr/>
        <w:t>E5.1 The outcome shall be recorded on the student's file by the Lead and communicated to the student in writing within five working days. No other record shall be kept.</w:t>
      </w:r>
    </w:p>
    <w:p>
      <w:pPr>
        <w:pStyle w:val="Heading2"/>
      </w:pPr>
      <w:r>
        <w:t>E6. Appeal</w:t>
      </w:r>
    </w:p>
    <w:p>
      <w:r>
        <w:rPr/>
        <w:t>E6.1 The student may appeal under Part F within ten working days of the written outcome.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to Practise Procedure</dc:title>
  <dc:subject/>
  <dc:creator>Brynja Cragshield</dc:creator>
  <cp:keywords/>
  <dc:description>generated by python-docx</dc:description>
  <cp:lastModifiedBy>Nyssa Memoryvault</cp:lastModifiedBy>
  <cp:revision>1</cp:revision>
  <dcterms:created xsi:type="dcterms:W3CDTF">2022-07-01T10:30:00Z</dcterms:created>
  <dcterms:modified xsi:type="dcterms:W3CDTF">2025-08-15T10:30:00Z</dcterms:modified>
  <cp:category>Public</cp:category>
</cp:coreProperties>
</file>