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DRAFT Artificial Intelligence Use Policy</w:t>
      </w:r>
    </w:p>
    <w:p>
      <w:r>
        <w:rPr/>
        <w:t>Draft 0.1 for consultation. Information Governance, 30 September 1052. Not approved. Not for circulation beyond the Information Governance Group.</w:t>
      </w:r>
    </w:p>
    <w:p>
      <w:pPr>
        <w:pStyle w:val="Heading2"/>
      </w:pPr>
      <w:r>
        <w:t>1. Purpose</w:t>
      </w:r>
    </w:p>
    <w:p>
      <w:r>
        <w:rPr/>
        <w:t>1.1 This policy restricts the use of generative artificial intelligence tools by staff of the University until such time as their risks are understood and controlled.</w:t>
      </w:r>
    </w:p>
    <w:p>
      <w:pPr>
        <w:pStyle w:val="Heading2"/>
      </w:pPr>
      <w:r>
        <w:t>2. Scope</w:t>
      </w:r>
    </w:p>
    <w:p>
      <w:r>
        <w:rPr/>
        <w:t>2.1 All staff. All tools that generate or transform text, images, code or data using a model trained on large datasets.</w:t>
      </w:r>
    </w:p>
    <w:p>
      <w:pPr>
        <w:pStyle w:val="Heading2"/>
      </w:pPr>
      <w:r>
        <w:t>3. Position</w:t>
      </w:r>
    </w:p>
    <w:p>
      <w:r>
        <w:rPr/>
        <w:t>3.1 Staff must not enter any University information, of any classification, into a generative AI tool, except Public information already published on the University website.</w:t>
      </w:r>
    </w:p>
    <w:p>
      <w:r>
        <w:rPr/>
        <w:t>3.2 Staff must not use generative AI tools to draft any document that will be circulated within or beyond the University, including correspondence, minutes, papers and reports.</w:t>
      </w:r>
    </w:p>
    <w:p>
      <w:r>
        <w:rPr/>
        <w:t>3.3 Staff must not use generative AI tools for any task involving students, applicants or colleagues.</w:t>
      </w:r>
    </w:p>
    <w:p>
      <w:r>
        <w:rPr/>
        <w:t>3.4 Exceptions require the written approval of the Data Protection Officer and the University Secretary in advance, following a Data Protection Impact Assessment.</w:t>
      </w:r>
    </w:p>
    <w:p>
      <w:pPr>
        <w:pStyle w:val="Heading2"/>
      </w:pPr>
      <w:r>
        <w:t>4. Rationale</w:t>
      </w:r>
    </w:p>
    <w:p>
      <w:r>
        <w:rPr/>
        <w:t>4.1 Consumer tools retain and may train on submitted content. The University has no contractual protection. Until an institutional tool is procured and configured, the only safe position is not to use them.</w:t>
      </w:r>
    </w:p>
    <w:p>
      <w:pPr>
        <w:pStyle w:val="Heading2"/>
      </w:pPr>
      <w:r>
        <w:t>5. Review</w:t>
      </w:r>
    </w:p>
    <w:p>
      <w:r>
        <w:rPr/>
        <w:t>5.1 This policy will be reviewed on the procurement of an institutional tool or after twelve months, whichever is sooner.</w:t>
      </w:r>
    </w:p>
    <w:p>
      <w:r>
        <w:rPr/>
        <w:t>Elenna Dewscroll Information Governance Manager and Data Protection Officer</w:t>
      </w:r>
    </w:p>
    <w:p>
      <w:r>
        <w:rPr>
          <w:i/>
        </w:rPr>
        <w:t>Note to IGG: I know this is strict. I would rather start strict and loosen than the reverse. Comments by 10 October please. 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policy draft A</dc:title>
  <dc:subject/>
  <dc:creator>Elenna Dewscroll</dc:creator>
  <cp:keywords/>
  <dc:description>generated by python-docx</dc:description>
  <cp:lastModifiedBy>Elenna Dewscroll</cp:lastModifiedBy>
  <cp:revision>1</cp:revision>
  <dcterms:created xsi:type="dcterms:W3CDTF">2025-09-30T10:30:00Z</dcterms:created>
  <dcterms:modified xsi:type="dcterms:W3CDTF">2025-09-30T10:30:00Z</dcterms:modified>
  <cp:category>Internal</cp:category>
</cp:coreProperties>
</file>