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Stonegrove University Brand Guide</w:t>
      </w:r>
    </w:p>
    <w:p>
      <w:r>
        <w:rPr/>
        <w:t>Version 2.1, September 1052. Communications. Public. Supersedes version 2.0 (September 1051) and all College of the Vale brand material.</w:t>
      </w:r>
    </w:p>
    <w:p>
      <w:pPr>
        <w:pStyle w:val="Heading2"/>
      </w:pPr>
      <w:r>
        <w:t>1. Who we are</w:t>
      </w:r>
    </w:p>
    <w:p>
      <w:r>
        <w:rPr/>
        <w:t>Stonegrove University sits where the forest meets the mountain. Elves and Dwarves study here together, in cloisters and forges and tree-canopied studios, and have done since the College was founded. In September 1051 the College of the Vale became Stonegrove University. The name changed because the institution had: one university, two peoples, fifty-five programmes, one voice.</w:t>
      </w:r>
    </w:p>
    <w:p>
      <w:r>
        <w:rPr/>
        <w:t>This guide says how that voice looks and sounds. It is short on purpose. If you need something it does not cover, ask Communications; do not improvise.</w:t>
      </w:r>
    </w:p>
    <w:p>
      <w:pPr>
        <w:pStyle w:val="Heading2"/>
      </w:pPr>
      <w:r>
        <w:t>2. Our name</w:t>
      </w:r>
    </w:p>
    <w:p>
      <w:r>
        <w:rPr/>
        <w:t xml:space="preserve">2.1 We are </w:t>
      </w:r>
      <w:r>
        <w:rPr>
          <w:b/>
        </w:rPr>
        <w:t>Stonegrove University</w:t>
      </w:r>
      <w:r>
        <w:rPr/>
        <w:t>. In running text, "Stonegrove University" on first mention and "the University" (capital U) thereafter. "Stonegrove" alone is acceptable in headlines and social posts.</w:t>
      </w:r>
    </w:p>
    <w:p>
      <w:r>
        <w:rPr/>
        <w:t>2.2 Never: "the University of Stonegrove"; "Stonegrove Uni"; "Stonegrove College of the Vale"; "the College". The College name was retired in September 1051 and appears only in historical contexts, with a date.</w:t>
      </w:r>
    </w:p>
    <w:p>
      <w:r>
        <w:rPr/>
        <w:t>2.3 Faculties, departments, programmes and teams use their official names as listed in Appendix A. The following names were retired in September 1051 and must not be used: "School of Health and Pedagogy", "Department of Healing Arts", "Faculty of Pedagogy", "Healing and Care".</w:t>
      </w:r>
    </w:p>
    <w:p>
      <w:r>
        <w:rPr/>
        <w:t xml:space="preserve">2.4 Our students are </w:t>
      </w:r>
      <w:r>
        <w:rPr>
          <w:b/>
        </w:rPr>
        <w:t>students</w:t>
      </w:r>
      <w:r>
        <w:rPr/>
        <w:t>. Not candidates, learners, young people or customers.</w:t>
      </w:r>
    </w:p>
    <w:p>
      <w:pPr>
        <w:pStyle w:val="Heading2"/>
      </w:pPr>
      <w:r>
        <w:t>3. Our logo</w:t>
      </w:r>
    </w:p>
    <w:p>
      <w:r>
        <w:rPr/>
        <w:t>3.1 The logo is the coat of arms with the wordmark "Stonegrove University" beside it. Use the supplied files (Brand / Logo) and no others. Never redraw, recolour, stretch, rotate, crop or add effects to it.</w:t>
      </w:r>
    </w:p>
    <w:p>
      <w:r>
        <w:rPr/>
        <w:t>3.2 Clear space around the logo is equal to the height of the shield on all four sides. Nothing enters that space.</w:t>
      </w:r>
    </w:p>
    <w:p>
      <w:r>
        <w:rPr/>
        <w:t>3.3 Minimum size: 30 mm wide in print, 120 px on screen. Below that, use the coat of arms alone.</w:t>
      </w:r>
    </w:p>
    <w:p>
      <w:r>
        <w:rPr/>
        <w:t>3.4 No department, programme, team, project or event may create its own logo, mark, emblem, icon or sub-brand. Where a unit needs to be identified, Communications produces a lock-up: the University logo with the unit's name in the brand typeface. Ask.</w:t>
      </w:r>
    </w:p>
    <w:p>
      <w:r>
        <w:rPr/>
        <w:t>3.5 The logo sits on Parchment, Deep Parchment, white or Stonegrove Navy. On a photograph it sits in a solid panel of one of those colours. Never on a gradient, a pattern, or any colour outside the palette.</w:t>
      </w:r>
    </w:p>
    <w:p>
      <w:pPr>
        <w:pStyle w:val="Heading2"/>
      </w:pPr>
      <w:r>
        <w:t>4. Colour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Hex</w:t>
            </w:r>
          </w:p>
        </w:tc>
        <w:tc>
          <w:tcPr>
            <w:tcW w:type="dxa" w:w="2880"/>
          </w:tcPr>
          <w:p>
            <w:r>
              <w:rPr>
                <w:b/>
              </w:rPr>
              <w:t>Use</w:t>
            </w:r>
          </w:p>
        </w:tc>
      </w:tr>
      <w:tr>
        <w:tc>
          <w:tcPr>
            <w:tcW w:type="dxa" w:w="2880"/>
          </w:tcPr>
          <w:p>
            <w:r>
              <w:rPr/>
              <w:t>Parchment</w:t>
            </w:r>
          </w:p>
        </w:tc>
        <w:tc>
          <w:tcPr>
            <w:tcW w:type="dxa" w:w="2880"/>
          </w:tcPr>
          <w:p>
            <w:r>
              <w:rPr/>
              <w:t>#f5f0e0</w:t>
            </w:r>
          </w:p>
        </w:tc>
        <w:tc>
          <w:tcPr>
            <w:tcW w:type="dxa" w:w="2880"/>
          </w:tcPr>
          <w:p>
            <w:r>
              <w:rPr/>
              <w:t>Page and slide backgrounds</w:t>
            </w:r>
          </w:p>
        </w:tc>
      </w:tr>
      <w:tr>
        <w:tc>
          <w:tcPr>
            <w:tcW w:type="dxa" w:w="2880"/>
          </w:tcPr>
          <w:p>
            <w:r>
              <w:rPr/>
              <w:t>Deep Parchment</w:t>
            </w:r>
          </w:p>
        </w:tc>
        <w:tc>
          <w:tcPr>
            <w:tcW w:type="dxa" w:w="2880"/>
          </w:tcPr>
          <w:p>
            <w:r>
              <w:rPr/>
              <w:t>#ede8dc</w:t>
            </w:r>
          </w:p>
        </w:tc>
        <w:tc>
          <w:tcPr>
            <w:tcW w:type="dxa" w:w="2880"/>
          </w:tcPr>
          <w:p>
            <w:r>
              <w:rPr/>
              <w:t>Secondary backgrounds, table headers</w:t>
            </w:r>
          </w:p>
        </w:tc>
      </w:tr>
      <w:tr>
        <w:tc>
          <w:tcPr>
            <w:tcW w:type="dxa" w:w="2880"/>
          </w:tcPr>
          <w:p>
            <w:r>
              <w:rPr/>
              <w:t>Stonegrove Navy</w:t>
            </w:r>
          </w:p>
        </w:tc>
        <w:tc>
          <w:tcPr>
            <w:tcW w:type="dxa" w:w="2880"/>
          </w:tcPr>
          <w:p>
            <w:r>
              <w:rPr/>
              <w:t>#1a1a2e</w:t>
            </w:r>
          </w:p>
        </w:tc>
        <w:tc>
          <w:tcPr>
            <w:tcW w:type="dxa" w:w="2880"/>
          </w:tcPr>
          <w:p>
            <w:r>
              <w:rPr/>
              <w:t>Headings, body text, the suite bar</w:t>
            </w:r>
          </w:p>
        </w:tc>
      </w:tr>
      <w:tr>
        <w:tc>
          <w:tcPr>
            <w:tcW w:type="dxa" w:w="2880"/>
          </w:tcPr>
          <w:p>
            <w:r>
              <w:rPr/>
              <w:t>Stonegrove Gold</w:t>
            </w:r>
          </w:p>
        </w:tc>
        <w:tc>
          <w:tcPr>
            <w:tcW w:type="dxa" w:w="2880"/>
          </w:tcPr>
          <w:p>
            <w:r>
              <w:rPr/>
              <w:t>#c9a84c</w:t>
            </w:r>
          </w:p>
        </w:tc>
        <w:tc>
          <w:tcPr>
            <w:tcW w:type="dxa" w:w="2880"/>
          </w:tcPr>
          <w:p>
            <w:r>
              <w:rPr/>
              <w:t>Rules, highlights, the wordmark accent</w:t>
            </w:r>
          </w:p>
        </w:tc>
      </w:tr>
      <w:tr>
        <w:tc>
          <w:tcPr>
            <w:tcW w:type="dxa" w:w="2880"/>
          </w:tcPr>
          <w:p>
            <w:r>
              <w:rPr/>
              <w:t>Grove Green</w:t>
            </w:r>
          </w:p>
        </w:tc>
        <w:tc>
          <w:tcPr>
            <w:tcW w:type="dxa" w:w="2880"/>
          </w:tcPr>
          <w:p>
            <w:r>
              <w:rPr/>
              <w:t>#7a9e82</w:t>
            </w:r>
          </w:p>
        </w:tc>
        <w:tc>
          <w:tcPr>
            <w:tcW w:type="dxa" w:w="2880"/>
          </w:tcPr>
          <w:p>
            <w:r>
              <w:rPr/>
              <w:t>Secondary accent, charts</w:t>
            </w:r>
          </w:p>
        </w:tc>
      </w:tr>
      <w:tr>
        <w:tc>
          <w:tcPr>
            <w:tcW w:type="dxa" w:w="2880"/>
          </w:tcPr>
          <w:p>
            <w:r>
              <w:rPr/>
              <w:t>Ember Coral</w:t>
            </w:r>
          </w:p>
        </w:tc>
        <w:tc>
          <w:tcPr>
            <w:tcW w:type="dxa" w:w="2880"/>
          </w:tcPr>
          <w:p>
            <w:r>
              <w:rPr/>
              <w:t>#d98878</w:t>
            </w:r>
          </w:p>
        </w:tc>
        <w:tc>
          <w:tcPr>
            <w:tcW w:type="dxa" w:w="2880"/>
          </w:tcPr>
          <w:p>
            <w:r>
              <w:rPr/>
              <w:t>Accent only: small highlights, chart emphasis. Never for text, never for backgrounds</w:t>
            </w:r>
          </w:p>
        </w:tc>
      </w:tr>
    </w:tbl>
    <w:p>
      <w:r>
        <w:rPr/>
        <w:t>4.1 No colours outside this palette. No gradients. No drop shadows. No tints below 20% of a palette colour.</w:t>
      </w:r>
    </w:p>
    <w:p>
      <w:pPr>
        <w:pStyle w:val="Heading2"/>
      </w:pPr>
      <w:r>
        <w:t>5. Type</w:t>
      </w:r>
    </w:p>
    <w:p>
      <w:r>
        <w:rPr/>
        <w:t xml:space="preserve">5.1 Headings: </w:t>
      </w:r>
      <w:r>
        <w:rPr>
          <w:b/>
        </w:rPr>
        <w:t>Playfair Display</w:t>
      </w:r>
      <w:r>
        <w:rPr/>
        <w:t xml:space="preserve">. Body: </w:t>
      </w:r>
      <w:r>
        <w:rPr>
          <w:b/>
        </w:rPr>
        <w:t>Source Sans 3</w:t>
      </w:r>
      <w:r>
        <w:rPr/>
        <w:t>. Both are free and are installed on University machines; the templates carry them. Where they are unavailable (external systems, email), use Georgia and Arial.</w:t>
      </w:r>
    </w:p>
    <w:p>
      <w:r>
        <w:rPr/>
        <w:t>5.2 Never more than two typefaces on a page. No display, script, rounded, handwritten or novelty faces. No Comic Sans, no Impact, no Papyrus, no "Bubblegum Rounded".</w:t>
      </w:r>
    </w:p>
    <w:p>
      <w:r>
        <w:rPr/>
        <w:t>5.3 Sentence case for headings. Title Case only for the names of things.</w:t>
      </w:r>
    </w:p>
    <w:p>
      <w:pPr>
        <w:pStyle w:val="Heading2"/>
      </w:pPr>
      <w:r>
        <w:t>6. Voice</w:t>
      </w:r>
    </w:p>
    <w:p>
      <w:r>
        <w:rPr/>
        <w:t>6.1 Warm, plain, confident. We say what we mean in short sentences. We do not boast and we do not apologise for existing.</w:t>
      </w:r>
    </w:p>
    <w:p>
      <w:r>
        <w:rPr/>
        <w:t>6.2 British spelling. "Programme", not "program". "Enrolment", one l.</w:t>
      </w:r>
    </w:p>
    <w:p>
      <w:r>
        <w:rPr/>
        <w:t>6.3 No exclamation marks in official communications: letters, web copy, prospectus, signage, papers. One exclamation mark is permitted in a social post. Never two.</w:t>
      </w:r>
    </w:p>
    <w:p>
      <w:r>
        <w:rPr/>
        <w:t>6.4 We write to students and applicants as adults. We are welcoming, not giddy. "We are pleased to offer you a place" is warm. "We are absolutely delighted to offer you a place!!" is not us.</w:t>
      </w:r>
    </w:p>
    <w:p>
      <w:r>
        <w:rPr/>
        <w:t xml:space="preserve">6.5 Our hashtag is </w:t>
      </w:r>
      <w:r>
        <w:rPr>
          <w:b/>
        </w:rPr>
        <w:t>#Stonegrove</w:t>
      </w:r>
      <w:r>
        <w:rPr/>
        <w:t>. The hashtag #CollegeOfTheVale was retired in September 1051.</w:t>
      </w:r>
    </w:p>
    <w:p>
      <w:pPr>
        <w:pStyle w:val="Heading2"/>
      </w:pPr>
      <w:r>
        <w:t>7. Templates</w:t>
      </w:r>
    </w:p>
    <w:p>
      <w:r>
        <w:rPr/>
        <w:t>7.1 Use the corporate templates in Brand / Templates: document, letterhead, slides, email signature. Templates dated before September 1051 are withdrawn and must not be used, wherever you found them.</w:t>
      </w:r>
    </w:p>
    <w:p>
      <w:r>
        <w:rPr/>
        <w:t>7.2 Email signatures are text only: name, title, Stonegrove University, extension, email. No images, no quotations, no colours.</w:t>
      </w:r>
    </w:p>
    <w:p>
      <w:pPr>
        <w:pStyle w:val="Heading2"/>
      </w:pPr>
      <w:r>
        <w:t>8. Never do this</w:t>
      </w:r>
    </w:p>
    <w:p>
      <w:pPr>
        <w:pStyle w:val="ListBullet"/>
      </w:pPr>
      <w:r>
        <w:rPr/>
        <w:t>Make your own logo, emblem or icon for your department, programme, team or event.</w:t>
      </w:r>
    </w:p>
    <w:p>
      <w:pPr>
        <w:pStyle w:val="ListBullet"/>
      </w:pPr>
      <w:r>
        <w:rPr/>
        <w:t>Use the College of the Vale name, crest, wordmark or any retired department name.</w:t>
      </w:r>
    </w:p>
    <w:p>
      <w:pPr>
        <w:pStyle w:val="ListBullet"/>
      </w:pPr>
      <w:r>
        <w:rPr/>
        <w:t>Put the logo on a gradient or a photograph without a panel.</w:t>
      </w:r>
    </w:p>
    <w:p>
      <w:pPr>
        <w:pStyle w:val="ListBullet"/>
      </w:pPr>
      <w:r>
        <w:rPr/>
        <w:t>Use a typeface that is not Playfair Display or Source Sans 3 (or their fallbacks).</w:t>
      </w:r>
    </w:p>
    <w:p>
      <w:pPr>
        <w:pStyle w:val="ListBullet"/>
      </w:pPr>
      <w:r>
        <w:rPr/>
        <w:t>Use Ember Coral for text or backgrounds.</w:t>
      </w:r>
    </w:p>
    <w:p>
      <w:pPr>
        <w:pStyle w:val="ListBullet"/>
      </w:pPr>
      <w:r>
        <w:rPr/>
        <w:t>Use more than one exclamation mark anywhere, or any in official communications.</w:t>
      </w:r>
    </w:p>
    <w:p>
      <w:pPr>
        <w:pStyle w:val="ListBullet"/>
      </w:pPr>
      <w:r>
        <w:rPr/>
        <w:t>Use an old template because it was where you expected a template to be.</w:t>
      </w:r>
    </w:p>
    <w:p>
      <w:pPr>
        <w:pStyle w:val="Heading2"/>
      </w:pPr>
      <w:r>
        <w:t>9. Getting help</w:t>
      </w:r>
    </w:p>
    <w:p>
      <w:r>
        <w:rPr/>
        <w:t>Communications, extension 2400. Brand and Design Officer, extension 2403. Lock-ups, templates and advice are free and quick. Ask before you make, not after.</w:t>
      </w:r>
    </w:p>
    <w:p>
      <w:pPr>
        <w:pStyle w:val="Heading2"/>
      </w:pPr>
      <w:r>
        <w:t>Appendix A: Official names</w:t>
      </w:r>
    </w:p>
    <w:p>
      <w:r>
        <w:rPr/>
        <w:t>Stonegrove University. Faculty of Health and Education; Department of Health; Department of Education; Programme Support Team, Nursing and Care. Faculty of Business and Law. Faculty of Craft, Art and Architecture. Faculty of Culture and Social Sciences. Faculty of Science and Engineering. Planning and Insight. Quality. Admissions. Student Wellbeing. Communications. Governance and Secretariat. Digital Services. People Services. Finance.</w:t>
      </w:r>
    </w:p>
    <w:p>
      <w:pPr>
        <w:pStyle w:val="Heading2"/>
      </w:pPr>
      <w:r>
        <w:t>Appendix B: Retired names</w:t>
      </w:r>
    </w:p>
    <w:tbl>
      <w:tblPr>
        <w:tblStyle w:val="TableGrid"/>
        <w:tblW w:type="auto" w:w="0"/>
        <w:tblLook w:firstColumn="1" w:firstRow="1" w:lastColumn="0" w:lastRow="0" w:noHBand="0" w:noVBand="1" w:val="04A0"/>
      </w:tblPr>
      <w:tblGrid>
        <w:gridCol w:w="4320"/>
        <w:gridCol w:w="4320"/>
      </w:tblGrid>
      <w:tr>
        <w:tc>
          <w:tcPr>
            <w:tcW w:type="dxa" w:w="4320"/>
          </w:tcPr>
          <w:p>
            <w:r>
              <w:rPr>
                <w:b/>
              </w:rPr>
              <w:t>Retired</w:t>
            </w:r>
          </w:p>
        </w:tc>
        <w:tc>
          <w:tcPr>
            <w:tcW w:type="dxa" w:w="4320"/>
          </w:tcPr>
          <w:p>
            <w:r>
              <w:rPr>
                <w:b/>
              </w:rPr>
              <w:t>Use instead</w:t>
            </w:r>
          </w:p>
        </w:tc>
      </w:tr>
      <w:tr>
        <w:tc>
          <w:tcPr>
            <w:tcW w:type="dxa" w:w="4320"/>
          </w:tcPr>
          <w:p>
            <w:r>
              <w:rPr/>
              <w:t>Stonegrove College of the Vale</w:t>
            </w:r>
          </w:p>
        </w:tc>
        <w:tc>
          <w:tcPr>
            <w:tcW w:type="dxa" w:w="4320"/>
          </w:tcPr>
          <w:p>
            <w:r>
              <w:rPr/>
              <w:t>Stonegrove University</w:t>
            </w:r>
          </w:p>
        </w:tc>
      </w:tr>
      <w:tr>
        <w:tc>
          <w:tcPr>
            <w:tcW w:type="dxa" w:w="4320"/>
          </w:tcPr>
          <w:p>
            <w:r>
              <w:rPr/>
              <w:t>School of Health and Pedagogy</w:t>
            </w:r>
          </w:p>
        </w:tc>
        <w:tc>
          <w:tcPr>
            <w:tcW w:type="dxa" w:w="4320"/>
          </w:tcPr>
          <w:p>
            <w:r>
              <w:rPr/>
              <w:t>Faculty of Health and Education</w:t>
            </w:r>
          </w:p>
        </w:tc>
      </w:tr>
      <w:tr>
        <w:tc>
          <w:tcPr>
            <w:tcW w:type="dxa" w:w="4320"/>
          </w:tcPr>
          <w:p>
            <w:r>
              <w:rPr/>
              <w:t>Department of Healing Arts</w:t>
            </w:r>
          </w:p>
        </w:tc>
        <w:tc>
          <w:tcPr>
            <w:tcW w:type="dxa" w:w="4320"/>
          </w:tcPr>
          <w:p>
            <w:r>
              <w:rPr/>
              <w:t>Department of Health</w:t>
            </w:r>
          </w:p>
        </w:tc>
      </w:tr>
      <w:tr>
        <w:tc>
          <w:tcPr>
            <w:tcW w:type="dxa" w:w="4320"/>
          </w:tcPr>
          <w:p>
            <w:r>
              <w:rPr/>
              <w:t>Faculty of Pedagogy</w:t>
            </w:r>
          </w:p>
        </w:tc>
        <w:tc>
          <w:tcPr>
            <w:tcW w:type="dxa" w:w="4320"/>
          </w:tcPr>
          <w:p>
            <w:r>
              <w:rPr/>
              <w:t>Department of Education</w:t>
            </w:r>
          </w:p>
        </w:tc>
      </w:tr>
      <w:tr>
        <w:tc>
          <w:tcPr>
            <w:tcW w:type="dxa" w:w="4320"/>
          </w:tcPr>
          <w:p>
            <w:r>
              <w:rPr/>
              <w:t>Healing and Care</w:t>
            </w:r>
          </w:p>
        </w:tc>
        <w:tc>
          <w:tcPr>
            <w:tcW w:type="dxa" w:w="4320"/>
          </w:tcPr>
          <w:p>
            <w:r>
              <w:rPr/>
              <w:t>Nursing and Care</w:t>
            </w:r>
          </w:p>
        </w:tc>
      </w:tr>
      <w:tr>
        <w:tc>
          <w:tcPr>
            <w:tcW w:type="dxa" w:w="4320"/>
          </w:tcPr>
          <w:p>
            <w:r>
              <w:rPr/>
              <w:t>#CollegeOfTheVale</w:t>
            </w:r>
          </w:p>
        </w:tc>
        <w:tc>
          <w:tcPr>
            <w:tcW w:type="dxa" w:w="4320"/>
          </w:tcPr>
          <w:p>
            <w:r>
              <w:rPr/>
              <w:t>#Stonegrove</w:t>
            </w:r>
          </w:p>
        </w:tc>
      </w:tr>
    </w:tbl>
    <w:p>
      <w:pPr>
        <w:pStyle w:val="Heading2"/>
      </w:pPr>
      <w:r>
        <w:t>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w:t>
            </w:r>
          </w:p>
        </w:tc>
      </w:tr>
      <w:tr>
        <w:tc>
          <w:tcPr>
            <w:tcW w:type="dxa" w:w="2880"/>
          </w:tcPr>
          <w:p>
            <w:r>
              <w:rPr/>
              <w:t>1.0</w:t>
            </w:r>
          </w:p>
        </w:tc>
        <w:tc>
          <w:tcPr>
            <w:tcW w:type="dxa" w:w="2880"/>
          </w:tcPr>
          <w:p>
            <w:r>
              <w:rPr/>
              <w:t>Pre-1051</w:t>
            </w:r>
          </w:p>
        </w:tc>
        <w:tc>
          <w:tcPr>
            <w:tcW w:type="dxa" w:w="2880"/>
          </w:tcPr>
          <w:p>
            <w:r>
              <w:rPr/>
              <w:t>College of the Vale brand (withdrawn)</w:t>
            </w:r>
          </w:p>
        </w:tc>
      </w:tr>
      <w:tr>
        <w:tc>
          <w:tcPr>
            <w:tcW w:type="dxa" w:w="2880"/>
          </w:tcPr>
          <w:p>
            <w:r>
              <w:rPr/>
              <w:t>2.0</w:t>
            </w:r>
          </w:p>
        </w:tc>
        <w:tc>
          <w:tcPr>
            <w:tcW w:type="dxa" w:w="2880"/>
          </w:tcPr>
          <w:p>
            <w:r>
              <w:rPr/>
              <w:t>September 1051</w:t>
            </w:r>
          </w:p>
        </w:tc>
        <w:tc>
          <w:tcPr>
            <w:tcW w:type="dxa" w:w="2880"/>
          </w:tcPr>
          <w:p>
            <w:r>
              <w:rPr/>
              <w:t>Stonegrove University brand launched</w:t>
            </w:r>
          </w:p>
        </w:tc>
      </w:tr>
      <w:tr>
        <w:tc>
          <w:tcPr>
            <w:tcW w:type="dxa" w:w="2880"/>
          </w:tcPr>
          <w:p>
            <w:r>
              <w:rPr/>
              <w:t>2.1</w:t>
            </w:r>
          </w:p>
        </w:tc>
        <w:tc>
          <w:tcPr>
            <w:tcW w:type="dxa" w:w="2880"/>
          </w:tcPr>
          <w:p>
            <w:r>
              <w:rPr/>
              <w:t>September 1052</w:t>
            </w:r>
          </w:p>
        </w:tc>
        <w:tc>
          <w:tcPr>
            <w:tcW w:type="dxa" w:w="2880"/>
          </w:tcPr>
          <w:p>
            <w:r>
              <w:rPr/>
              <w:t>Section 8 added after a year of sightings; Appendix B expanded</w:t>
            </w:r>
          </w:p>
        </w:tc>
      </w:tr>
    </w:tbl>
    <w:p>
      <w:r>
        <w:rPr/>
        <w:t>Sorell Inkthread, Brand and Design Officer Rhialla Moondrift, Head of Communications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Guide 1051 v2.1</dc:title>
  <dc:subject/>
  <dc:creator>Sorell Inkthread</dc:creator>
  <cp:keywords/>
  <dc:description>generated by python-docx</dc:description>
  <cp:lastModifiedBy>Rhialla Moondrift</cp:lastModifiedBy>
  <cp:revision>1</cp:revision>
  <dcterms:created xsi:type="dcterms:W3CDTF">2024-07-01T10:30:00Z</dcterms:created>
  <dcterms:modified xsi:type="dcterms:W3CDTF">2025-09-15T10:30:00Z</dcterms:modified>
  <cp:category>Public</cp:category>
</cp:coreProperties>
</file>