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Regulations, Part C: Extenuating Circumstances</w:t>
      </w:r>
    </w:p>
    <w:p>
      <w:r>
        <w:rPr/>
        <w:t>Edition 1052-53.</w:t>
      </w:r>
    </w:p>
    <w:p>
      <w:pPr>
        <w:pStyle w:val="Heading2"/>
      </w:pPr>
      <w:r>
        <w:t>C1. Definition</w:t>
      </w:r>
    </w:p>
    <w:p>
      <w:r>
        <w:rPr/>
        <w:t>C1.1 Extenuating circumstances are circumstances which are exceptional, outside the student's control, unforeseeable or unavoidable, and which have had, or could reasonably be expected to have had, a significant adverse effect on the student's ability to undertake or complete an assessment at the time of that assessment.</w:t>
      </w:r>
    </w:p>
    <w:p>
      <w:r>
        <w:rPr/>
        <w:t>C1.2 The following shall not normally be accepted as extenuating circumstances: circumstances which were foreseeable or preventable; minor illness; the demands of paid employment; the failure of computer equipment where the student has not taken reasonable steps to safeguard work; misreading the timetable or the deadline; a condition for which the student has a support plan, where the adjustments in that plan address the circumstance.</w:t>
      </w:r>
    </w:p>
    <w:p>
      <w:pPr>
        <w:pStyle w:val="Heading2"/>
      </w:pPr>
      <w:r>
        <w:t>C2. Making a claim</w:t>
      </w:r>
    </w:p>
    <w:p>
      <w:r>
        <w:rPr/>
        <w:t>C2.1 A claim shall be made on the prescribed form through the approved system not later than five working days after the assessment deadline or examination to which it relates. A claim submitted after that time shall be considered only where the student demonstrates good reason for the delay.</w:t>
      </w:r>
    </w:p>
    <w:p>
      <w:r>
        <w:rPr/>
        <w:t>C2.2 A claim shall be accompanied by independent documentary evidence, save where the circumstances are such that evidence cannot reasonably be obtained, in which case the student shall state why.</w:t>
      </w:r>
    </w:p>
    <w:p>
      <w:r>
        <w:rPr/>
        <w:t>C2.3 A claim shall specify the assessments affected. A claim which does not specify the assessments affected shall be returned.</w:t>
      </w:r>
    </w:p>
    <w:p>
      <w:pPr>
        <w:pStyle w:val="Heading2"/>
      </w:pPr>
      <w:r>
        <w:t>C3. Consideration</w:t>
      </w:r>
    </w:p>
    <w:p>
      <w:r>
        <w:rPr/>
        <w:t>C3.1 Claims shall be considered by the Faculty Extenuating Circumstances Panel, which shall meet not less than monthly during the teaching year and before each Examination Board.</w:t>
      </w:r>
    </w:p>
    <w:p>
      <w:r>
        <w:rPr/>
        <w:t>C3.2 The Panel shall determine whether the claim is accepted, accepted in part, or rejected, and shall record its reasons. The Panel shall not consider the academic merit of the student's work.</w:t>
      </w:r>
    </w:p>
    <w:p>
      <w:r>
        <w:rPr/>
        <w:t>C3.3 Where a claim is accepted, the Panel shall recommend to the Examination Board one of the following: that the student be permitted to submit by a revised deadline without penalty; that the student be permitted a further attempt at the assessment as if for the first time; or, exceptionally, that the assessment be waived and the module mark be derived from the remaining components.</w:t>
      </w:r>
    </w:p>
    <w:p>
      <w:r>
        <w:rPr/>
        <w:t>C3.4 The Panel shall not award marks.</w:t>
      </w:r>
    </w:p>
    <w:p>
      <w:pPr>
        <w:pStyle w:val="Heading2"/>
      </w:pPr>
      <w:r>
        <w:t>C4. Confidentiality</w:t>
      </w:r>
    </w:p>
    <w:p>
      <w:r>
        <w:rPr/>
        <w:t>C4.1 Claims and evidence shall be treated as Confidential under the Data Classification Scheme. They shall be seen only by the Panel, its secretary, and the Head of Quality. Module leaders shall be informed of the outcome and not of the circumstances.</w:t>
      </w:r>
    </w:p>
    <w:p>
      <w:r>
        <w:rPr/>
        <w:t>C4.2 Guidance for students on this Part shall not reproduce the circumstances of any identifiable student.</w:t>
      </w:r>
    </w:p>
    <w:p>
      <w:pPr>
        <w:pStyle w:val="Heading2"/>
      </w:pPr>
      <w:r>
        <w:t>C5. Appeal</w:t>
      </w:r>
    </w:p>
    <w:p>
      <w:r>
        <w:rPr/>
        <w:t>C5.1 A student may appeal against a decision of the Panel under Part F (Academic Appeals) on the grounds that the procedure was not followed or that the Panel did not have before it material evidence which the student could not reasonably have provided at the time.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Extenuating Circumstances Regulation</dc:title>
  <dc:subject/>
  <dc:creator>Brynja Cragshield</dc:creator>
  <cp:keywords/>
  <dc:description>generated by python-docx</dc:description>
  <cp:lastModifiedBy>Brynja Cragshield</cp:lastModifiedBy>
  <cp:revision>1</cp:revision>
  <dcterms:created xsi:type="dcterms:W3CDTF">2023-07-01T10:30:00Z</dcterms:created>
  <dcterms:modified xsi:type="dcterms:W3CDTF">2025-08-15T10:30:00Z</dcterms:modified>
  <cp:category>Public</cp:category>
</cp:coreProperties>
</file>