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Nursing and Care placements: how the process works</w:t>
      </w:r>
    </w:p>
    <w:p>
      <w:r>
        <w:rPr/>
        <w:t>Hesta Gracestone, Programme Administrator. September 1050. Written for the new Placements Coordinator (Halden) when he started, so that there would be one document that said what happened and when. Updated when things changed.</w:t>
      </w:r>
    </w:p>
    <w:p>
      <w:pPr>
        <w:pStyle w:val="Heading2"/>
      </w:pPr>
      <w:r>
        <w:t>1. The year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When</w:t>
            </w:r>
          </w:p>
        </w:tc>
        <w:tc>
          <w:tcPr>
            <w:tcW w:type="dxa" w:w="2160"/>
          </w:tcPr>
          <w:p>
            <w:r>
              <w:rPr>
                <w:b/>
              </w:rPr>
              <w:t>What</w:t>
            </w:r>
          </w:p>
        </w:tc>
        <w:tc>
          <w:tcPr>
            <w:tcW w:type="dxa" w:w="2160"/>
          </w:tcPr>
          <w:p>
            <w:r>
              <w:rPr>
                <w:b/>
              </w:rPr>
              <w:t>Who</w:t>
            </w:r>
          </w:p>
        </w:tc>
        <w:tc>
          <w:tcPr>
            <w:tcW w:type="dxa" w:w="2160"/>
          </w:tcPr>
          <w:p>
            <w:r>
              <w:rPr>
                <w:b/>
              </w:rPr>
              <w:t>Record</w:t>
            </w:r>
          </w:p>
        </w:tc>
      </w:tr>
      <w:tr>
        <w:tc>
          <w:tcPr>
            <w:tcW w:type="dxa" w:w="2160"/>
          </w:tcPr>
          <w:p>
            <w:r>
              <w:rPr/>
              <w:t>June</w:t>
            </w:r>
          </w:p>
        </w:tc>
        <w:tc>
          <w:tcPr>
            <w:tcW w:type="dxa" w:w="2160"/>
          </w:tcPr>
          <w:p>
            <w:r>
              <w:rPr/>
              <w:t>Letter to every provider asking for next year's capacity and conditions</w:t>
            </w:r>
          </w:p>
        </w:tc>
        <w:tc>
          <w:tcPr>
            <w:tcW w:type="dxa" w:w="2160"/>
          </w:tcPr>
          <w:p>
            <w:r>
              <w:rPr/>
              <w:t>Coordinator</w:t>
            </w:r>
          </w:p>
        </w:tc>
        <w:tc>
          <w:tcPr>
            <w:tcW w:type="dxa" w:w="2160"/>
          </w:tcPr>
          <w:p>
            <w:r>
              <w:rPr/>
              <w:t>Provider file (one folder per provider)</w:t>
            </w:r>
          </w:p>
        </w:tc>
      </w:tr>
      <w:tr>
        <w:tc>
          <w:tcPr>
            <w:tcW w:type="dxa" w:w="2160"/>
          </w:tcPr>
          <w:p>
            <w:r>
              <w:rPr/>
              <w:t>July to September</w:t>
            </w:r>
          </w:p>
        </w:tc>
        <w:tc>
          <w:tcPr>
            <w:tcW w:type="dxa" w:w="2160"/>
          </w:tcPr>
          <w:p>
            <w:r>
              <w:rPr/>
              <w:t>Replies logged; non-repliers chased in the first week of September</w:t>
            </w:r>
          </w:p>
        </w:tc>
        <w:tc>
          <w:tcPr>
            <w:tcW w:type="dxa" w:w="2160"/>
          </w:tcPr>
          <w:p>
            <w:r>
              <w:rPr/>
              <w:t>Coordinator</w:t>
            </w:r>
          </w:p>
        </w:tc>
        <w:tc>
          <w:tcPr>
            <w:tcW w:type="dxa" w:w="2160"/>
          </w:tcPr>
          <w:p>
            <w:r>
              <w:rPr/>
              <w:t>Provider register (this folder)</w:t>
            </w:r>
          </w:p>
        </w:tc>
      </w:tr>
      <w:tr>
        <w:tc>
          <w:tcPr>
            <w:tcW w:type="dxa" w:w="2160"/>
          </w:tcPr>
          <w:p>
            <w:r>
              <w:rPr/>
              <w:t>August</w:t>
            </w:r>
          </w:p>
        </w:tc>
        <w:tc>
          <w:tcPr>
            <w:tcW w:type="dxa" w:w="2160"/>
          </w:tcPr>
          <w:p>
            <w:r>
              <w:rPr/>
              <w:t>Student list exported; pathway, Year 1 placement, home area, constraints added</w:t>
            </w:r>
          </w:p>
        </w:tc>
        <w:tc>
          <w:tcPr>
            <w:tcW w:type="dxa" w:w="2160"/>
          </w:tcPr>
          <w:p>
            <w:r>
              <w:rPr/>
              <w:t>Administrator</w:t>
            </w:r>
          </w:p>
        </w:tc>
        <w:tc>
          <w:tcPr>
            <w:tcW w:type="dxa" w:w="2160"/>
          </w:tcPr>
          <w:p>
            <w:r>
              <w:rPr/>
              <w:t>Allocation list</w:t>
            </w:r>
          </w:p>
        </w:tc>
      </w:tr>
      <w:tr>
        <w:tc>
          <w:tcPr>
            <w:tcW w:type="dxa" w:w="2160"/>
          </w:tcPr>
          <w:p>
            <w:r>
              <w:rPr/>
              <w:t>September</w:t>
            </w:r>
          </w:p>
        </w:tc>
        <w:tc>
          <w:tcPr>
            <w:tcW w:type="dxa" w:w="2160"/>
          </w:tcPr>
          <w:p>
            <w:r>
              <w:rPr/>
              <w:t>Semester 1 allocation; checks (section 3); confirmations sent</w:t>
            </w:r>
          </w:p>
        </w:tc>
        <w:tc>
          <w:tcPr>
            <w:tcW w:type="dxa" w:w="2160"/>
          </w:tcPr>
          <w:p>
            <w:r>
              <w:rPr/>
              <w:t>Coordinator</w:t>
            </w:r>
          </w:p>
        </w:tc>
        <w:tc>
          <w:tcPr>
            <w:tcW w:type="dxa" w:w="2160"/>
          </w:tcPr>
          <w:p>
            <w:r>
              <w:rPr/>
              <w:t>Allocation list, confirmations folder</w:t>
            </w:r>
          </w:p>
        </w:tc>
      </w:tr>
      <w:tr>
        <w:tc>
          <w:tcPr>
            <w:tcW w:type="dxa" w:w="2160"/>
          </w:tcPr>
          <w:p>
            <w:r>
              <w:rPr/>
              <w:t>October</w:t>
            </w:r>
          </w:p>
        </w:tc>
        <w:tc>
          <w:tcPr>
            <w:tcW w:type="dxa" w:w="2160"/>
          </w:tcPr>
          <w:p>
            <w:r>
              <w:rPr/>
              <w:t>Placements start; weekly issues check</w:t>
            </w:r>
          </w:p>
        </w:tc>
        <w:tc>
          <w:tcPr>
            <w:tcW w:type="dxa" w:w="2160"/>
          </w:tcPr>
          <w:p>
            <w:r>
              <w:rPr/>
              <w:t>Coordinator</w:t>
            </w:r>
          </w:p>
        </w:tc>
        <w:tc>
          <w:tcPr>
            <w:tcW w:type="dxa" w:w="2160"/>
          </w:tcPr>
          <w:p>
            <w:r>
              <w:rPr/>
              <w:t>Issues log</w:t>
            </w:r>
          </w:p>
        </w:tc>
      </w:tr>
      <w:tr>
        <w:tc>
          <w:tcPr>
            <w:tcW w:type="dxa" w:w="2160"/>
          </w:tcPr>
          <w:p>
            <w:r>
              <w:rPr/>
              <w:t>December</w:t>
            </w:r>
          </w:p>
        </w:tc>
        <w:tc>
          <w:tcPr>
            <w:tcW w:type="dxa" w:w="2160"/>
          </w:tcPr>
          <w:p>
            <w:r>
              <w:rPr/>
              <w:t>Semester 2 allocation; Year 1 introductory placement allocated in January</w:t>
            </w:r>
          </w:p>
        </w:tc>
        <w:tc>
          <w:tcPr>
            <w:tcW w:type="dxa" w:w="2160"/>
          </w:tcPr>
          <w:p>
            <w:r>
              <w:rPr/>
              <w:t>Coordinator</w:t>
            </w:r>
          </w:p>
        </w:tc>
        <w:tc>
          <w:tcPr>
            <w:tcW w:type="dxa" w:w="2160"/>
          </w:tcPr>
          <w:p>
            <w:r>
              <w:rPr/>
              <w:t>As above</w:t>
            </w:r>
          </w:p>
        </w:tc>
      </w:tr>
      <w:tr>
        <w:tc>
          <w:tcPr>
            <w:tcW w:type="dxa" w:w="2160"/>
          </w:tcPr>
          <w:p>
            <w:r>
              <w:rPr/>
              <w:t>May</w:t>
            </w:r>
          </w:p>
        </w:tc>
        <w:tc>
          <w:tcPr>
            <w:tcW w:type="dxa" w:w="2160"/>
          </w:tcPr>
          <w:p>
            <w:r>
              <w:rPr/>
              <w:t>Hours confirmed; make-up hours arranged; summary to the examination board</w:t>
            </w:r>
          </w:p>
        </w:tc>
        <w:tc>
          <w:tcPr>
            <w:tcW w:type="dxa" w:w="2160"/>
          </w:tcPr>
          <w:p>
            <w:r>
              <w:rPr/>
              <w:t>Administrator</w:t>
            </w:r>
          </w:p>
        </w:tc>
        <w:tc>
          <w:tcPr>
            <w:tcW w:type="dxa" w:w="2160"/>
          </w:tcPr>
          <w:p>
            <w:r>
              <w:rPr/>
              <w:t>Hours register</w:t>
            </w:r>
          </w:p>
        </w:tc>
      </w:tr>
    </w:tbl>
    <w:p>
      <w:pPr>
        <w:pStyle w:val="Heading2"/>
      </w:pPr>
      <w:r>
        <w:t>2. What every provider needs before a student starts</w:t>
      </w:r>
    </w:p>
    <w:p>
      <w:r>
        <w:rPr/>
        <w:t>Every provider is different and the differences are the whole job. The provider register (this folder) has one row per provider with: contact, phone, email, places, pathway restrictions, pre-start requirements, and anything unusual. Keep it current. When a letter arrives, update the row the same day; do not rely on finding the letter later.</w:t>
      </w:r>
    </w:p>
    <w:p>
      <w:r>
        <w:rPr/>
        <w:t>Common pre-start requirements: occupational health cleared; mandatory training complete; names and start dates two weeks ahead. Less common, and the ones that catch people out: an occupational health letter rather than the portal flag (Hollowpick); a half-day induction (Millbrook); an interview (Deepmarrow); a safety briefing and protective equipment (Cragburrow); a form per student (Obsidian Vault); vetting that takes eight weeks (Granite Ridge).</w:t>
      </w:r>
    </w:p>
    <w:p>
      <w:pPr>
        <w:pStyle w:val="Heading2"/>
      </w:pPr>
      <w:r>
        <w:t>3. Checks before confirmation</w:t>
      </w:r>
    </w:p>
    <w:p>
      <w:r>
        <w:rPr/>
        <w:t>Run these for every student, every time, before the confirmation email is sent. Tick the list.</w:t>
      </w:r>
    </w:p>
    <w:p>
      <w:pPr>
        <w:pStyle w:val="ListNumber"/>
      </w:pPr>
      <w:r>
        <w:rPr/>
        <w:t>Occupational health status is "cleared" (not "pending") on the date of the check, not the date of the export.</w:t>
      </w:r>
    </w:p>
    <w:p>
      <w:pPr>
        <w:pStyle w:val="ListNumber"/>
      </w:pPr>
      <w:r>
        <w:rPr/>
        <w:t>Mandatory training is complete.</w:t>
      </w:r>
    </w:p>
    <w:p>
      <w:pPr>
        <w:pStyle w:val="ListNumber"/>
      </w:pPr>
      <w:r>
        <w:rPr/>
        <w:t>The provider's pre-start requirements (register, column H) are met or booked.</w:t>
      </w:r>
    </w:p>
    <w:p>
      <w:pPr>
        <w:pStyle w:val="ListNumber"/>
      </w:pPr>
      <w:r>
        <w:rPr/>
        <w:t>The student is not returning to their Year 1 setting.</w:t>
      </w:r>
    </w:p>
    <w:p>
      <w:pPr>
        <w:pStyle w:val="ListNumber"/>
      </w:pPr>
      <w:r>
        <w:rPr/>
        <w:t>Any Wellbeing adjustments are compatible with the provider's conditions (shift pattern, travel, setting).</w:t>
      </w:r>
    </w:p>
    <w:p>
      <w:pPr>
        <w:pStyle w:val="ListNumber"/>
      </w:pPr>
      <w:r>
        <w:rPr/>
        <w:t>The provider's capacity has not been exceeded (count, do not trust a formula).</w:t>
      </w:r>
    </w:p>
    <w:p>
      <w:pPr>
        <w:pStyle w:val="ListNumber"/>
      </w:pPr>
      <w:r>
        <w:rPr/>
        <w:t>The student has been told how to find the site. Some providers have two.</w:t>
      </w:r>
    </w:p>
    <w:p>
      <w:pPr>
        <w:pStyle w:val="Heading2"/>
      </w:pPr>
      <w:r>
        <w:t>4. When a provider withdraws</w:t>
      </w:r>
    </w:p>
    <w:p>
      <w:r>
        <w:rPr/>
        <w:t>Ring the Infirmary first; Sister Frostmantle can usually take four to six at short notice if asked early. Then reallocate by travel distance, nearest first. Then tell Wellbeing if any affected student has adjustments, because the new provider will not know. Then the students. Then the new providers, names and dates only.</w:t>
      </w:r>
    </w:p>
    <w:p>
      <w:pPr>
        <w:pStyle w:val="Heading2"/>
      </w:pPr>
      <w:r>
        <w:t>5. Records</w:t>
      </w:r>
    </w:p>
    <w:p>
      <w:r>
        <w:rPr/>
        <w:t>One folder per provider. One allocation list per year, one version, with superseded versions in a Superseded folder. One issues log. One hours register. Providers get names and start dates and nothing else about students, ever.</w:t>
      </w:r>
    </w:p>
    <w:p>
      <w:pPr>
        <w:pStyle w:val="Heading2"/>
      </w:pPr>
      <w:r>
        <w:t>6. Hand-over</w:t>
      </w:r>
    </w:p>
    <w:p>
      <w:r>
        <w:rPr/>
        <w:t>Whoever does this job next should be able to do it from this document, the register and the logs, without ringing anyone. If they cannot, the document is wrong and should be fixed.</w:t>
      </w:r>
    </w:p>
    <w:p>
      <w:r>
        <w:rPr/>
        <w:t>Kind regards, Hesta</w:t>
      </w:r>
    </w:p>
    <w:p>
      <w:r>
        <w:rPr>
          <w:i/>
        </w:rPr>
        <w:t>Last updated September 1050. Halden has since moved the allocation into a single workbook with tabs. The checks in section 3 have not been carried across as a step. H.G., Nov 1052.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Placements process 1050</dc:title>
  <dc:subject/>
  <dc:creator>Hesta Gracestone</dc:creator>
  <cp:keywords/>
  <dc:description>generated by python-docx</dc:description>
  <cp:lastModifiedBy>Hesta Gracestone</cp:lastModifiedBy>
  <cp:revision>1</cp:revision>
  <dcterms:created xsi:type="dcterms:W3CDTF">2023-06-15T10:30:00Z</dcterms:created>
  <dcterms:modified xsi:type="dcterms:W3CDTF">2023-09-03T10:30:00Z</dcterms:modified>
  <cp:category/>
</cp:coreProperties>
</file>