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Programme responses to the external examiner: Occupational Therapy</w:t>
      </w:r>
    </w:p>
    <w:p>
      <w:r>
        <w:rPr/>
        <w:t>Compiled by Quality from the annual programme response forms. The programme is asked to respond to each matter raised under section 4 of the external examiner's report by 30 September.</w:t>
      </w:r>
    </w:p>
    <w:p>
      <w:pPr>
        <w:pStyle w:val="Heading2"/>
      </w:pPr>
      <w:r>
        <w:t>Response to the 1050 report (submitted 15 September 1050)</w:t>
      </w:r>
    </w:p>
    <w:p>
      <w:r>
        <w:rPr>
          <w:i/>
        </w:rPr>
        <w:t>Matter raised: Year 2 assessment load (twelve summative points).</w:t>
      </w:r>
    </w:p>
    <w:p>
      <w:r>
        <w:rPr/>
        <w:t>Response: The programme team thanks the external examiner for her report and is pleased by her comments on standards and on placement portfolios. The point about Year 2 assessment load is noted and is under review by the programme team as part of its routine annual monitoring.</w:t>
      </w:r>
    </w:p>
    <w:p>
      <w:r>
        <w:rPr/>
        <w:t>Programme Leader: Dr C. Candletome</w:t>
      </w:r>
    </w:p>
    <w:p>
      <w:pPr>
        <w:pStyle w:val="Heading2"/>
      </w:pPr>
      <w:r>
        <w:t>Response to the 1051 report (submitted 22 September 1051)</w:t>
      </w:r>
    </w:p>
    <w:p>
      <w:r>
        <w:rPr>
          <w:i/>
        </w:rPr>
        <w:t>Matters raised: Year 2 assessment load, for the second time; marking consistency on one Year 2 module.</w:t>
      </w:r>
    </w:p>
    <w:p>
      <w:r>
        <w:rPr/>
        <w:t>Response: The programme team thanks the external examiner. The assessment load in Year 2 remains under review; the team has discussed options for combining assessment points in two modules and expects to bring proposals forward in the context of the forthcoming revalidation, where changes to module descriptors can be made in one exercise rather than piecemeal. The point on marking consistency is noted and has been addressed through moderation.</w:t>
      </w:r>
    </w:p>
    <w:p>
      <w:r>
        <w:rPr/>
        <w:t>Programme Leader: Dr C. Candletome</w:t>
      </w:r>
    </w:p>
    <w:p>
      <w:pPr>
        <w:pStyle w:val="Heading2"/>
      </w:pPr>
      <w:r>
        <w:t>Response to the 1052 report (submitted 20 September 1052)</w:t>
      </w:r>
    </w:p>
    <w:p>
      <w:r>
        <w:rPr>
          <w:i/>
        </w:rPr>
        <w:t>Matters raised: Year 2 assessment load, for the third time; marking consistency on one Year 2 module, for the second time, with a suggestion that it be treated as reserved business.</w:t>
      </w:r>
    </w:p>
    <w:p>
      <w:r>
        <w:rPr/>
        <w:t>Response: The programme team thanks the external examiner for her continued engagement. The assessment load in Year 2 remains under review and will be addressed in the self-evaluation document for revalidation (panel scheduled for March 1053), where the team intends to propose a revised Year 2 assessment pattern. The matter of marking consistency has been noted and will be discussed with the colleague concerned; the team agrees that it be treated as reserved business.</w:t>
      </w:r>
    </w:p>
    <w:p>
      <w:r>
        <w:rPr/>
        <w:t>Programme Leader: Dr C. Candletome</w:t>
      </w:r>
    </w:p>
    <w:p>
      <w:r>
        <w:rPr>
          <w:i/>
        </w:rPr>
        <w:t>Quality note (O.G.): three reports, one recommendation, three "under review" responses. The Head of Quality has asked that the revalidation panel consider whether the programme's annual monitoring is functioning as intended.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responses to external examiner OT 1050-1052</dc:title>
  <dc:subject/>
  <dc:creator>Caerel Candletome</dc:creator>
  <cp:keywords/>
  <dc:description>generated by python-docx</dc:description>
  <cp:lastModifiedBy>Ollir Greenquill</cp:lastModifiedBy>
  <cp:revision>1</cp:revision>
  <dcterms:created xsi:type="dcterms:W3CDTF">2023-09-15T10:30:00Z</dcterms:created>
  <dcterms:modified xsi:type="dcterms:W3CDTF">2025-09-20T10:30:00Z</dcterms:modified>
  <cp:category>Internal</cp:category>
</cp:coreProperties>
</file>