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the Revalidation Panel's Conditions</w:t>
      </w:r>
    </w:p>
    <w:p>
      <w:pPr>
        <w:pStyle w:val="Heading2"/>
      </w:pPr>
      <w:r>
        <w:t>BSc (Hons) Occupational Therapy</w:t>
      </w:r>
    </w:p>
    <w:p>
      <w:r>
        <w:rPr/>
        <w:t>Dr Caerel Candletome, Programme Leader. Draft, 10 April 1053. Due to the Head of Quality 30 April.</w:t>
      </w:r>
    </w:p>
    <w:p>
      <w:pPr>
        <w:pStyle w:val="Heading2"/>
      </w:pPr>
      <w:r>
        <w:t>Condition 1: Year 2 assessment pattern</w:t>
      </w:r>
    </w:p>
    <w:p>
      <w:r>
        <w:rPr/>
        <w:t>The programme team met on 2 April and agreed the pattern at Appendix F of the self-evaluation document with one amendment: OT206 Research Methods 2 will retain a forty-five minute in-class methods test (20% of the module) alongside the expanded research proposal (80%), as the external member asked. Year 2 will therefore carry seven summative points.</w:t>
      </w:r>
    </w:p>
    <w:p>
      <w:r>
        <w:rPr/>
        <w:t>Amended descriptors for OT201, OT202, OT205 and OT206 are being prepared on the Quality template and will be submitted by 16 May for approval by 30 June. OT203 and OT204 are unchanged. The team has agreed marking weeks for 1053-54 that do not coincide with placement visits.</w:t>
      </w:r>
    </w:p>
    <w:p>
      <w:r>
        <w:rPr/>
        <w:t>Students have been told. I wrote to all three cohorts on 28 March, as the panel asked, and spoke to the Year 1 cohort in person on 3 April. They asked whether the change would apply to them in Year 2 next year. It will.</w:t>
      </w:r>
    </w:p>
    <w:p>
      <w:pPr>
        <w:pStyle w:val="Heading2"/>
      </w:pPr>
      <w:r>
        <w:t>Condition 2: student-facing guide to extenuating circumstances</w:t>
      </w:r>
    </w:p>
    <w:p>
      <w:r>
        <w:rPr/>
        <w:t>A draft is in the Quality Guidance folder ("EC guide for students DRAFT"). I would be grateful for the Head of Quality's comments on it, and in particular on whether the worked example is helpful. I have used a real case from this year because I thought it would be more useful than an invented one; I am conscious that the panel report refers to C4.2 and I wonder whether I have got this wrong. Liora Lanternwake in the Programme Support Team has offered to read it as a non-specialist, which I will take up. Target for publication: June 1053, ahead of the September deadline.</w:t>
      </w:r>
    </w:p>
    <w:p>
      <w:pPr>
        <w:pStyle w:val="Heading2"/>
      </w:pPr>
      <w:r>
        <w:t>Recommendations</w:t>
      </w:r>
    </w:p>
    <w:p>
      <w:r>
        <w:rPr/>
        <w:t>5.1 The Year 1 formative assessment (week 4, 1053-54) will include a short structured reflection on how the student is finding study, which personal tutors will use to prompt a conversation about support where appropriate. Student Wellbeing (Mr Hearthbind) has agreed to advise on the wording.</w:t>
      </w:r>
    </w:p>
    <w:p>
      <w:r>
        <w:rPr/>
        <w:t>5.2 The programme committee will receive, each December, a count of contextual-offer students with a support plan by the end of semester 1. Planning and Insight have agreed to supply the count.</w:t>
      </w:r>
    </w:p>
    <w:p>
      <w:r>
        <w:rPr/>
        <w:t>5.3 Placement educator documentation reduced to two forms from September 1053. Drafts with the Programme Support Team.</w:t>
      </w:r>
    </w:p>
    <w:p>
      <w:r>
        <w:rPr/>
        <w:t>5.4 Done, as above.</w:t>
      </w:r>
    </w:p>
    <w:p>
      <w:pPr>
        <w:pStyle w:val="Heading2"/>
      </w:pPr>
      <w:r>
        <w:t>Reserved matter</w:t>
      </w:r>
    </w:p>
    <w:p>
      <w:r>
        <w:rPr/>
        <w:t>Addressed separately with the Head of Quality.</w:t>
      </w:r>
    </w:p>
    <w:p>
      <w:r>
        <w:rPr>
          <w:i/>
        </w:rPr>
        <w:t>With apologies for the length. I will cut this down before it goes. 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conditions DRAFT</dc:title>
  <dc:subject/>
  <dc:creator>Caerel Candletome</dc:creator>
  <cp:keywords/>
  <dc:description>generated by python-docx</dc:description>
  <cp:lastModifiedBy>Caerel Candletome</cp:lastModifiedBy>
  <cp:revision>1</cp:revision>
  <dcterms:created xsi:type="dcterms:W3CDTF">2026-04-01T10:30:00Z</dcterms:created>
  <dcterms:modified xsi:type="dcterms:W3CDTF">2026-04-10T10:30:00Z</dcterms:modified>
  <cp:category>Internal</cp:category>
</cp:coreProperties>
</file>