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COUNCIL</w:t>
      </w:r>
    </w:p>
    <w:p>
      <w:pPr>
        <w:pStyle w:val="Heading2"/>
      </w:pPr>
      <w:r>
        <w:t>Paper C/1053/08 (DRAFT)</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rPr>
                <w:b/>
              </w:rPr>
              <w:t>Title</w:t>
            </w:r>
          </w:p>
        </w:tc>
        <w:tc>
          <w:tcPr>
            <w:tcW w:type="dxa" w:w="4320"/>
          </w:tcPr>
          <w:p>
            <w:r>
              <w:rPr/>
              <w:t>The Awarding Gap in the Faculty of Health and Education: A Bold Response</w:t>
            </w:r>
          </w:p>
        </w:tc>
      </w:tr>
      <w:tr>
        <w:tc>
          <w:tcPr>
            <w:tcW w:type="dxa" w:w="4320"/>
          </w:tcPr>
          <w:p>
            <w:r>
              <w:rPr>
                <w:b/>
              </w:rPr>
              <w:t>Author</w:t>
            </w:r>
          </w:p>
        </w:tc>
        <w:tc>
          <w:tcPr>
            <w:tcW w:type="dxa" w:w="4320"/>
          </w:tcPr>
          <w:p>
            <w:r>
              <w:rPr/>
              <w:t>Professor Cyranor Goldmantle, Dean</w:t>
            </w:r>
          </w:p>
        </w:tc>
      </w:tr>
      <w:tr>
        <w:tc>
          <w:tcPr>
            <w:tcW w:type="dxa" w:w="4320"/>
          </w:tcPr>
          <w:p>
            <w:r>
              <w:rPr>
                <w:b/>
              </w:rPr>
              <w:t>Sponsor</w:t>
            </w:r>
          </w:p>
        </w:tc>
        <w:tc>
          <w:tcPr>
            <w:tcW w:type="dxa" w:w="4320"/>
          </w:tcPr>
          <w:p>
            <w:r>
              <w:rPr/>
              <w:t>Professor Cyranor Goldmantle, Dean</w:t>
            </w:r>
          </w:p>
        </w:tc>
      </w:tr>
      <w:tr>
        <w:tc>
          <w:tcPr>
            <w:tcW w:type="dxa" w:w="4320"/>
          </w:tcPr>
          <w:p>
            <w:r>
              <w:rPr>
                <w:b/>
              </w:rPr>
              <w:t>Purpose</w:t>
            </w:r>
          </w:p>
        </w:tc>
        <w:tc>
          <w:tcPr>
            <w:tcW w:type="dxa" w:w="4320"/>
          </w:tcPr>
          <w:p>
            <w:r>
              <w:rPr/>
              <w:t>To discuss</w:t>
            </w:r>
          </w:p>
        </w:tc>
      </w:tr>
      <w:tr>
        <w:tc>
          <w:tcPr>
            <w:tcW w:type="dxa" w:w="4320"/>
          </w:tcPr>
          <w:p>
            <w:r>
              <w:rPr>
                <w:b/>
              </w:rPr>
              <w:t>Classification</w:t>
            </w:r>
          </w:p>
        </w:tc>
        <w:tc>
          <w:tcPr>
            <w:tcW w:type="dxa" w:w="4320"/>
          </w:tcPr>
          <w:p>
            <w:r>
              <w:rPr/>
              <w:t>Internal</w:t>
            </w:r>
          </w:p>
        </w:tc>
      </w:tr>
      <w:tr>
        <w:tc>
          <w:tcPr>
            <w:tcW w:type="dxa" w:w="4320"/>
          </w:tcPr>
          <w:p>
            <w:r>
              <w:rPr>
                <w:b/>
              </w:rPr>
              <w:t>Reserved business?</w:t>
            </w:r>
          </w:p>
        </w:tc>
        <w:tc>
          <w:tcPr>
            <w:tcW w:type="dxa" w:w="4320"/>
          </w:tcPr>
          <w:p>
            <w:r>
              <w:rPr/>
              <w:t>No</w:t>
            </w:r>
          </w:p>
        </w:tc>
      </w:tr>
    </w:tbl>
    <w:p>
      <w:pPr>
        <w:pStyle w:val="Heading3"/>
      </w:pPr>
      <w:r>
        <w:t>Summary</w:t>
      </w:r>
    </w:p>
    <w:p>
      <w:r>
        <w:rPr/>
        <w:t>The Faculty of Health and Education takes the awarding gap between its Elf and Dwarf graduates with the utmost seriousness. This paper sets out the figures, the Faculty's bold and ambitious response, and how we will measure success. The Faculty is determined to be a leader in this area.</w:t>
      </w:r>
    </w:p>
    <w:p>
      <w:pPr>
        <w:pStyle w:val="Heading3"/>
      </w:pPr>
      <w:r>
        <w:t>Recommendation</w:t>
      </w:r>
    </w:p>
    <w:p>
      <w:r>
        <w:rPr/>
        <w:t>Council is asked to NOTE the Faculty's commitment and to ENDORSE the actions set out below.</w:t>
      </w:r>
    </w:p>
    <w:p>
      <w:pPr>
        <w:pStyle w:val="Heading3"/>
      </w:pPr>
      <w:r>
        <w:t>1. The figures</w:t>
      </w:r>
    </w:p>
    <w:p>
      <w:r>
        <w:rPr/>
        <w:t>The gap in good honours between Elf and Dwarf graduates in the Faculty stands at 30.2 percentage points. This is a matter of real concern to me and to my colleagues.</w:t>
      </w:r>
    </w:p>
    <w:p>
      <w:r>
        <w:rPr/>
        <w:t>Looking across the Faculty, 54.3% of Dwarf graduates in the Faculty achieved a good degree. We believe this is a figure the Faculty can and must improve.</w:t>
      </w:r>
    </w:p>
    <w:p>
      <w:r>
        <w:rPr/>
        <w:t>The gap has narrowed steadily, year on year, which demonstrates that the Faculty's existing efforts are bearing fruit, but there is much more to do.</w:t>
      </w:r>
    </w:p>
    <w:p>
      <w:r>
        <w:rPr/>
        <w:t>By programme: [Elowen to get table from Quorin]</w:t>
      </w:r>
    </w:p>
    <w:p>
      <w:pPr>
        <w:pStyle w:val="Heading3"/>
      </w:pPr>
      <w:r>
        <w:t>2. What the Faculty will do</w:t>
      </w:r>
    </w:p>
    <w:p>
      <w:r>
        <w:rPr/>
        <w:t>The Faculty will be bold. Specifically:</w:t>
      </w:r>
    </w:p>
    <w:p>
      <w:pPr>
        <w:pStyle w:val="ListBullet"/>
      </w:pPr>
      <w:r>
        <w:rPr/>
        <w:t>A Faculty Awarding Gap Taskforce, chaired by the Dean, meeting termly.</w:t>
      </w:r>
    </w:p>
    <w:p>
      <w:pPr>
        <w:pStyle w:val="ListBullet"/>
      </w:pPr>
      <w:r>
        <w:rPr/>
        <w:t>Every programme to produce an awarding gap action plan by September 1053.</w:t>
      </w:r>
    </w:p>
    <w:p>
      <w:pPr>
        <w:pStyle w:val="ListBullet"/>
      </w:pPr>
      <w:r>
        <w:rPr/>
        <w:t>Enhanced personal tutoring for all first-year students.</w:t>
      </w:r>
    </w:p>
    <w:p>
      <w:pPr>
        <w:pStyle w:val="ListBullet"/>
      </w:pPr>
      <w:r>
        <w:rPr/>
        <w:t>A review of assessment practice across the Faculty, building on the work already under way in Occupational Therapy and the Department of Education.</w:t>
      </w:r>
    </w:p>
    <w:p>
      <w:pPr>
        <w:pStyle w:val="ListBullet"/>
      </w:pPr>
      <w:r>
        <w:rPr/>
        <w:t>Placement allocation to take account of students' circumstances [Dagna: is this right?]</w:t>
      </w:r>
    </w:p>
    <w:p>
      <w:pPr>
        <w:pStyle w:val="ListBullet"/>
      </w:pPr>
      <w:r>
        <w:rPr/>
        <w:t>Staff development on inclusive teaching.</w:t>
      </w:r>
    </w:p>
    <w:p>
      <w:pPr>
        <w:pStyle w:val="Heading3"/>
      </w:pPr>
      <w:r>
        <w:t>3. How we will know</w:t>
      </w:r>
    </w:p>
    <w:p>
      <w:r>
        <w:rPr/>
        <w:t>The Faculty will set a target of halving the gap within three years and will report progress to Council annually through the Planning and Insight annual report.</w:t>
      </w:r>
    </w:p>
    <w:p>
      <w:pPr>
        <w:pStyle w:val="Heading3"/>
      </w:pPr>
      <w:r>
        <w:t>4. A bold Faculty</w:t>
      </w:r>
    </w:p>
    <w:p>
      <w:r>
        <w:rPr/>
        <w:t>[Cyranor to add a bit about being bold. Approx one para. He said he'd dictate it Thursday.]</w:t>
      </w:r>
    </w:p>
    <w:p>
      <w:r>
        <w:t>________________________________________</w:t>
      </w:r>
    </w:p>
    <w:p>
      <w:r>
        <w:rPr>
          <w:i/>
        </w:rPr>
        <w:t>Notes to self: Quorin says the numbers are from the wrong report and Dwarf and Elf are the wrong way round somewhere?? Check with Erra. Also Brekka said at FMG that Planning should write section 1 so maybe just replace the whole of section 1 with whatever Erra sends. Papers deadline 12 May. DO NOT send to Gudrik until Quorin has seen it. (sorry!)</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1A1A2E"/>
      </w:rPr>
      <w:t>Stonegrove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Deans thing v3 USE THIS</dc:title>
  <dc:subject/>
  <dc:creator>Cyranor Goldmantle</dc:creator>
  <cp:keywords/>
  <dc:description>generated by python-docx</dc:description>
  <cp:lastModifiedBy>Elowen Fogwhisper</cp:lastModifiedBy>
  <cp:revision>1</cp:revision>
  <dcterms:created xsi:type="dcterms:W3CDTF">2026-04-02T10:30:00Z</dcterms:created>
  <dcterms:modified xsi:type="dcterms:W3CDTF">2026-04-08T10:30:00Z</dcterms:modified>
  <cp:category>Internal</cp:category>
</cp:coreProperties>
</file>