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NC202 Pharmacology for Practice</w:t>
      </w:r>
    </w:p>
    <w:p>
      <w:pPr>
        <w:pStyle w:val="Heading2"/>
      </w:pPr>
      <w:r>
        <w:t>Assessment brief 1052-53</w:t>
      </w:r>
    </w:p>
    <w:p>
      <w:r>
        <w:rPr/>
        <w:t>Module leader: Dr Nyssa Memoryvault. 20 credits. Semester 1.</w:t>
      </w:r>
    </w:p>
    <w:p>
      <w:pPr>
        <w:pStyle w:val="Heading2"/>
      </w:pPr>
      <w:r>
        <w:t>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Weighting</w:t>
            </w:r>
          </w:p>
        </w:tc>
        <w:tc>
          <w:tcPr>
            <w:tcW w:type="dxa" w:w="2160"/>
          </w:tcPr>
          <w:p>
            <w:r>
              <w:rPr>
                <w:b/>
              </w:rPr>
              <w:t>Format</w:t>
            </w:r>
          </w:p>
        </w:tc>
        <w:tc>
          <w:tcPr>
            <w:tcW w:type="dxa" w:w="2160"/>
          </w:tcPr>
          <w:p>
            <w:r>
              <w:rPr>
                <w:b/>
              </w:rPr>
              <w:t>Date</w:t>
            </w:r>
          </w:p>
        </w:tc>
      </w:tr>
      <w:tr>
        <w:tc>
          <w:tcPr>
            <w:tcW w:type="dxa" w:w="2160"/>
          </w:tcPr>
          <w:p>
            <w:r>
              <w:rPr/>
              <w:t>Midterm: medicines calculation examination</w:t>
            </w:r>
          </w:p>
        </w:tc>
        <w:tc>
          <w:tcPr>
            <w:tcW w:type="dxa" w:w="2160"/>
          </w:tcPr>
          <w:p>
            <w:r>
              <w:rPr/>
              <w:t>40%</w:t>
            </w:r>
          </w:p>
        </w:tc>
        <w:tc>
          <w:tcPr>
            <w:tcW w:type="dxa" w:w="2160"/>
          </w:tcPr>
          <w:p>
            <w:r>
              <w:rPr/>
              <w:t>60 minutes, invigilated, computer-based. Pass mark for this component is 100% on the calculation section and 40% overall.</w:t>
            </w:r>
          </w:p>
        </w:tc>
        <w:tc>
          <w:tcPr>
            <w:tcW w:type="dxa" w:w="2160"/>
          </w:tcPr>
          <w:p>
            <w:r>
              <w:rPr/>
              <w:t>Week 7</w:t>
            </w:r>
          </w:p>
        </w:tc>
      </w:tr>
      <w:tr>
        <w:tc>
          <w:tcPr>
            <w:tcW w:type="dxa" w:w="2160"/>
          </w:tcPr>
          <w:p>
            <w:r>
              <w:rPr/>
              <w:t>Final: case study</w:t>
            </w:r>
          </w:p>
        </w:tc>
        <w:tc>
          <w:tcPr>
            <w:tcW w:type="dxa" w:w="2160"/>
          </w:tcPr>
          <w:p>
            <w:r>
              <w:rPr/>
              <w:t>60%</w:t>
            </w:r>
          </w:p>
        </w:tc>
        <w:tc>
          <w:tcPr>
            <w:tcW w:type="dxa" w:w="2160"/>
          </w:tcPr>
          <w:p>
            <w:r>
              <w:rPr/>
              <w:t>2,500 words. Choose one of four patient cases. Identify the pharmacological issues, justify the medicines management plan, and identify the points at which error could occur and how a nurse prevents it.</w:t>
            </w:r>
          </w:p>
        </w:tc>
        <w:tc>
          <w:tcPr>
            <w:tcW w:type="dxa" w:w="2160"/>
          </w:tcPr>
          <w:p>
            <w:r>
              <w:rPr/>
              <w:t>Week 13, Friday 16:00</w:t>
            </w:r>
          </w:p>
        </w:tc>
      </w:tr>
    </w:tbl>
    <w:p>
      <w:pPr>
        <w:pStyle w:val="Heading2"/>
      </w:pPr>
      <w:r>
        <w:t>Why the calculation pass mark is 100%</w:t>
      </w:r>
    </w:p>
    <w:p>
      <w:r>
        <w:rPr/>
        <w:t>A medicines calculation error harms a patient. There is no acceptable rate. Candidates who do not achieve 100% on the calculation section at the first attempt have one further attempt in week 10. Candidates who do not achieve it at the second attempt will be referred to the module leader and may not proceed to placement 2 until they do. This is not a punishment. It is the standard the profession sets and the standard your patients are entitled to.</w:t>
      </w:r>
    </w:p>
    <w:p>
      <w:pPr>
        <w:pStyle w:val="Heading2"/>
      </w:pPr>
      <w:r>
        <w:t>Case study guidance</w:t>
      </w:r>
    </w:p>
    <w:p>
      <w:r>
        <w:rPr/>
        <w:t>Write for a registered nurse who has not met the patient. Use the approved reference sources. Reference the formulary for every medicine you discuss. Do not name real patients, staff or placement areas; the cases are fictional and should stay so.</w:t>
      </w:r>
    </w:p>
    <w:p>
      <w:r>
        <w:rPr/>
        <w:t>Candidates with an adjustments summary should contact the module leader in week 1 to confirm how the adjustments apply to the computer-based examination.</w:t>
      </w:r>
    </w:p>
    <w:p>
      <w:pPr>
        <w:pStyle w:val="Heading2"/>
      </w:pPr>
      <w:r>
        <w:t>Marking criteria (case study)</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Weight</w:t>
            </w:r>
          </w:p>
        </w:tc>
      </w:tr>
      <w:tr>
        <w:tc>
          <w:tcPr>
            <w:tcW w:type="dxa" w:w="4320"/>
          </w:tcPr>
          <w:p>
            <w:r>
              <w:rPr/>
              <w:t>Accuracy of pharmacological content</w:t>
            </w:r>
          </w:p>
        </w:tc>
        <w:tc>
          <w:tcPr>
            <w:tcW w:type="dxa" w:w="4320"/>
          </w:tcPr>
          <w:p>
            <w:r>
              <w:rPr/>
              <w:t>30%</w:t>
            </w:r>
          </w:p>
        </w:tc>
      </w:tr>
      <w:tr>
        <w:tc>
          <w:tcPr>
            <w:tcW w:type="dxa" w:w="4320"/>
          </w:tcPr>
          <w:p>
            <w:r>
              <w:rPr/>
              <w:t>Clinical reasoning and justification</w:t>
            </w:r>
          </w:p>
        </w:tc>
        <w:tc>
          <w:tcPr>
            <w:tcW w:type="dxa" w:w="4320"/>
          </w:tcPr>
          <w:p>
            <w:r>
              <w:rPr/>
              <w:t>30%</w:t>
            </w:r>
          </w:p>
        </w:tc>
      </w:tr>
      <w:tr>
        <w:tc>
          <w:tcPr>
            <w:tcW w:type="dxa" w:w="4320"/>
          </w:tcPr>
          <w:p>
            <w:r>
              <w:rPr/>
              <w:t>Identification of error points and prevention</w:t>
            </w:r>
          </w:p>
        </w:tc>
        <w:tc>
          <w:tcPr>
            <w:tcW w:type="dxa" w:w="4320"/>
          </w:tcPr>
          <w:p>
            <w:r>
              <w:rPr/>
              <w:t>25%</w:t>
            </w:r>
          </w:p>
        </w:tc>
      </w:tr>
      <w:tr>
        <w:tc>
          <w:tcPr>
            <w:tcW w:type="dxa" w:w="4320"/>
          </w:tcPr>
          <w:p>
            <w:r>
              <w:rPr/>
              <w:t>Structure, referencing, academic writing</w:t>
            </w:r>
          </w:p>
        </w:tc>
        <w:tc>
          <w:tcPr>
            <w:tcW w:type="dxa" w:w="4320"/>
          </w:tcPr>
          <w:p>
            <w:r>
              <w:rPr/>
              <w:t>15%</w:t>
            </w:r>
          </w:p>
        </w:tc>
      </w:tr>
    </w:tbl>
    <w:p>
      <w:r>
        <w:rPr/>
        <w:t>Feedback is returned within 15 working days.</w:t>
      </w:r>
    </w:p>
    <w:p>
      <w:r>
        <w:rPr/>
        <w:t>N. Memoryvault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NC202 Pharmacology for Practice assessment brief</dc:title>
  <dc:subject/>
  <dc:creator>Nyssa Memoryvault</dc:creator>
  <cp:keywords/>
  <dc:description>generated by python-docx</dc:description>
  <cp:lastModifiedBy>Nyssa Memoryvault</cp:lastModifiedBy>
  <cp:revision>1</cp:revision>
  <dcterms:created xsi:type="dcterms:W3CDTF">2025-09-10T10:30:00Z</dcterms:created>
  <dcterms:modified xsi:type="dcterms:W3CDTF">2025-09-10T10:30:00Z</dcterms:modified>
  <cp:category>Internal</cp:category>
</cp:coreProperties>
</file>