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Awarding Gap Annual Report 1050-51</w:t>
      </w:r>
    </w:p>
    <w:p>
      <w:pPr>
        <w:pStyle w:val="Heading2"/>
      </w:pPr>
      <w:r>
        <w:t>Faculty of Health and Education</w:t>
      </w:r>
    </w:p>
    <w:p>
      <w:r>
        <w:rPr/>
        <w:t>Planning and Insight. Version 01, 14 November 1051. Internal.</w:t>
      </w:r>
    </w:p>
    <w:p>
      <w:pPr>
        <w:pStyle w:val="Heading2"/>
      </w:pPr>
      <w:r>
        <w:t>How to read this report</w:t>
      </w:r>
    </w:p>
    <w:p>
      <w:r>
        <w:rPr/>
        <w:t>Good honours means a First or Upper Second. The awarding gap is the Elf good honours rate minus the Dwarf rate, in percentage points. Graduating year 1051 means students who completed in 1050-51. Programme-level figures are suppressed below 20 graduates in a group. Single-year movements are within the range the numbers produce by chance.</w:t>
      </w:r>
    </w:p>
    <w:p>
      <w:pPr>
        <w:pStyle w:val="Heading2"/>
      </w:pPr>
      <w:r>
        <w:t>Headline</w:t>
      </w:r>
    </w:p>
    <w:p>
      <w:r>
        <w:rPr/>
        <w:t xml:space="preserve">For 1051 graduates, 57.3% of Elf graduates and 27.0% of Dwarf graduates achieved good honours. The gap is </w:t>
      </w:r>
      <w:r>
        <w:rPr>
          <w:b/>
        </w:rPr>
        <w:t>30.2 percentage points</w:t>
      </w:r>
      <w:r>
        <w:rPr/>
        <w:t>, from 902 graduates.</w:t>
      </w:r>
    </w:p>
    <w:p>
      <w:pPr>
        <w:pStyle w:val="Heading2"/>
      </w:pPr>
      <w:r>
        <w:t>Three years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Graduating year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Graduates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Elf %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Dwarf %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Gap (pp)</w:t>
            </w:r>
          </w:p>
        </w:tc>
      </w:tr>
      <w:tr>
        <w:tc>
          <w:tcPr>
            <w:tcW w:type="dxa" w:w="1728"/>
          </w:tcPr>
          <w:p>
            <w:r>
              <w:rPr/>
              <w:t>1049</w:t>
            </w:r>
          </w:p>
        </w:tc>
        <w:tc>
          <w:tcPr>
            <w:tcW w:type="dxa" w:w="1728"/>
          </w:tcPr>
          <w:p>
            <w:r>
              <w:rPr/>
              <w:t>884</w:t>
            </w:r>
          </w:p>
        </w:tc>
        <w:tc>
          <w:tcPr>
            <w:tcW w:type="dxa" w:w="1728"/>
          </w:tcPr>
          <w:p>
            <w:r>
              <w:rPr/>
              <w:t>61.5</w:t>
            </w:r>
          </w:p>
        </w:tc>
        <w:tc>
          <w:tcPr>
            <w:tcW w:type="dxa" w:w="1728"/>
          </w:tcPr>
          <w:p>
            <w:r>
              <w:rPr/>
              <w:t>36.5</w:t>
            </w:r>
          </w:p>
        </w:tc>
        <w:tc>
          <w:tcPr>
            <w:tcW w:type="dxa" w:w="1728"/>
          </w:tcPr>
          <w:p>
            <w:r>
              <w:rPr/>
              <w:t>24.9</w:t>
            </w:r>
          </w:p>
        </w:tc>
      </w:tr>
      <w:tr>
        <w:tc>
          <w:tcPr>
            <w:tcW w:type="dxa" w:w="1728"/>
          </w:tcPr>
          <w:p>
            <w:r>
              <w:rPr/>
              <w:t>1050</w:t>
            </w:r>
          </w:p>
        </w:tc>
        <w:tc>
          <w:tcPr>
            <w:tcW w:type="dxa" w:w="1728"/>
          </w:tcPr>
          <w:p>
            <w:r>
              <w:rPr/>
              <w:t>948</w:t>
            </w:r>
          </w:p>
        </w:tc>
        <w:tc>
          <w:tcPr>
            <w:tcW w:type="dxa" w:w="1728"/>
          </w:tcPr>
          <w:p>
            <w:r>
              <w:rPr/>
              <w:t>59.1</w:t>
            </w:r>
          </w:p>
        </w:tc>
        <w:tc>
          <w:tcPr>
            <w:tcW w:type="dxa" w:w="1728"/>
          </w:tcPr>
          <w:p>
            <w:r>
              <w:rPr/>
              <w:t>34.7</w:t>
            </w:r>
          </w:p>
        </w:tc>
        <w:tc>
          <w:tcPr>
            <w:tcW w:type="dxa" w:w="1728"/>
          </w:tcPr>
          <w:p>
            <w:r>
              <w:rPr/>
              <w:t>24.4</w:t>
            </w:r>
          </w:p>
        </w:tc>
      </w:tr>
      <w:tr>
        <w:tc>
          <w:tcPr>
            <w:tcW w:type="dxa" w:w="1728"/>
          </w:tcPr>
          <w:p>
            <w:r>
              <w:rPr/>
              <w:t>1051</w:t>
            </w:r>
          </w:p>
        </w:tc>
        <w:tc>
          <w:tcPr>
            <w:tcW w:type="dxa" w:w="1728"/>
          </w:tcPr>
          <w:p>
            <w:r>
              <w:rPr/>
              <w:t>902</w:t>
            </w:r>
          </w:p>
        </w:tc>
        <w:tc>
          <w:tcPr>
            <w:tcW w:type="dxa" w:w="1728"/>
          </w:tcPr>
          <w:p>
            <w:r>
              <w:rPr/>
              <w:t>57.3</w:t>
            </w:r>
          </w:p>
        </w:tc>
        <w:tc>
          <w:tcPr>
            <w:tcW w:type="dxa" w:w="1728"/>
          </w:tcPr>
          <w:p>
            <w:r>
              <w:rPr/>
              <w:t>27.0</w:t>
            </w:r>
          </w:p>
        </w:tc>
        <w:tc>
          <w:tcPr>
            <w:tcW w:type="dxa" w:w="1728"/>
          </w:tcPr>
          <w:p>
            <w:r>
              <w:rPr/>
              <w:t>30.2</w:t>
            </w:r>
          </w:p>
        </w:tc>
      </w:tr>
    </w:tbl>
    <w:p>
      <w:pPr>
        <w:pStyle w:val="Heading2"/>
      </w:pPr>
      <w:r>
        <w:t>Commentary</w:t>
      </w:r>
    </w:p>
    <w:p>
      <w:r>
        <w:rPr/>
        <w:t>The pattern is the institutional one: the difference is carried by prior educational route, socioeconomic position, disability and first-semester engagement, and the residual by species is small once these are accounted for. The Faculty is asked to direct effort at first-year engagement and support.</w:t>
      </w:r>
    </w:p>
    <w:p>
      <w:r>
        <w:rPr/>
        <w:t>This is the first year Planning and Insight has produced a Faculty-level report. We expect to refine the method; figures in future reports may be restated.</w:t>
      </w:r>
    </w:p>
    <w:p>
      <w:r>
        <w:rPr/>
        <w:t>Q. Deepmirror, E. Measurine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INTERNAL    Stonegrove University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1A1A2E"/>
      </w:rPr>
      <w:t>Stonegrove University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Awarding Gap Annual Report 1050-51</dc:title>
  <dc:subject/>
  <dc:creator>Erra Measurine</dc:creator>
  <cp:keywords/>
  <dc:description>generated by python-docx</dc:description>
  <cp:lastModifiedBy>Quorin Deepmirror</cp:lastModifiedBy>
  <cp:revision>1</cp:revision>
  <dcterms:created xsi:type="dcterms:W3CDTF">2024-11-07T10:30:00Z</dcterms:created>
  <dcterms:modified xsi:type="dcterms:W3CDTF">2024-11-14T10:30:00Z</dcterms:modified>
  <cp:category>Internal</cp:category>
</cp:coreProperties>
</file>