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</w:t>
      </w:r>
    </w:p>
    <w:p>
      <w:r>
        <w:rPr>
          <w:b/>
        </w:rPr>
        <w:t>From:</w:t>
      </w:r>
      <w:r>
        <w:rPr/>
        <w:t xml:space="preserve"> Dr Hrogar Dourstone, Head of the Department of Healing Arts </w:t>
      </w:r>
      <w:r>
        <w:rPr>
          <w:b/>
        </w:rPr>
        <w:t>To:</w:t>
      </w:r>
      <w:r>
        <w:rPr/>
        <w:t xml:space="preserve"> The Head of Communications </w:t>
      </w:r>
      <w:r>
        <w:rPr>
          <w:b/>
        </w:rPr>
        <w:t>Copy:</w:t>
      </w:r>
      <w:r>
        <w:rPr/>
        <w:t xml:space="preserve"> The Dean </w:t>
      </w:r>
      <w:r>
        <w:rPr>
          <w:b/>
        </w:rPr>
        <w:t>Date:</w:t>
      </w:r>
      <w:r>
        <w:rPr/>
        <w:t xml:space="preserve"> 14.03.53 </w:t>
      </w:r>
      <w:r>
        <w:rPr>
          <w:b/>
        </w:rPr>
        <w:t>Subject:</w:t>
      </w:r>
      <w:r>
        <w:rPr/>
        <w:t xml:space="preserve"> Departmental letterhead (second request)</w:t>
      </w:r>
    </w:p>
    <w:p>
      <w:pPr>
        <w:pStyle w:val="ListNumber"/>
      </w:pPr>
      <w:r>
        <w:rPr/>
        <w:t>I wrote on 3 October 1051 requesting that Communications supply the Department with letterhead bearing its name and the University crest, in the manner of the letterhead the Department has used since 1012. I received a reply declining the request on the ground that the Department's name had been changed.</w:t>
      </w:r>
    </w:p>
    <w:p>
      <w:pPr>
        <w:pStyle w:val="ListNumber"/>
      </w:pPr>
      <w:r>
        <w:rPr/>
        <w:t>I am minded to renew the request. The Department of Healing Arts has borne that name for forty-one years. Its graduates know it by that name. Its placement providers address correspondence to it by that name. The decision to rename it was taken by a project board on which the Department was not represented, and was communicated to the Department after the event.</w:t>
      </w:r>
    </w:p>
    <w:p>
      <w:pPr>
        <w:pStyle w:val="ListNumber"/>
      </w:pPr>
      <w:r>
        <w:rPr/>
        <w:t>I do not ask Communications to reverse the decision. I ask that the Department be permitted to use its name on its own correspondence, as a matter of courtesy to its history, alongside the University's.</w:t>
      </w:r>
    </w:p>
    <w:p>
      <w:pPr>
        <w:pStyle w:val="ListNumber"/>
      </w:pPr>
      <w:r>
        <w:rPr/>
        <w:t>I should be grateful for a reply before the Faculty Management Group next meets.</w:t>
      </w:r>
    </w:p>
    <w:p>
      <w:r>
        <w:rPr/>
        <w:t>H. Dourstone</w:t>
      </w:r>
    </w:p>
    <w:p>
      <w:r>
        <w:t>________________________________________</w:t>
      </w:r>
    </w:p>
    <w:p>
      <w:r>
        <w:rPr>
          <w:i/>
        </w:rPr>
        <w:t>Communications response, 17 March 1053 (S. Inkthread, cc R. Moondrift):</w:t>
      </w:r>
    </w:p>
    <w:p>
      <w:r>
        <w:rPr>
          <w:i/>
        </w:rPr>
        <w:t>Dear Dr Dourstone. Thank you for your memorandum. I am sorry to decline a second time, and I want to explain rather than simply refuse. The brand guide (section 2.3) retires "Department of Healing Arts" and names "Department of Health" as the official name; the guide was approved by Senate in July 1051 and Communications does not have discretion to vary it for one department. I recognise that the renaming was poorly consulted and I have said so to the Head of Communications. What I can offer, and would like to: a lock-up carrying "Department of Health" in the brand typeface with the University logo, which is what every other department uses; and, if the Department wishes to mark its history, a line in the footer of departmental documents reading "Founded as the Department of Healing Arts, 1012". That is permitted under section 2.2 as historical use with a date. I would be glad to produce both this week. With respect, S. Inkthread, Brand and Design Officer.</w:t>
      </w:r>
    </w:p>
    <w:p>
      <w:r>
        <w:rPr>
          <w:i/>
        </w:rPr>
        <w:t>Logged BCL-020. Declined. No reply received.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   Stonegrove College of the Vale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A1F2E"/>
      </w:rPr>
      <w:t>Stonegrove College of the Vale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Department of Healing Arts letterhead</dc:title>
  <dc:subject/>
  <dc:creator>Hrogar Dourstone</dc:creator>
  <cp:keywords/>
  <dc:description>generated by python-docx</dc:description>
  <cp:lastModifiedBy>Sorell Inkthread</cp:lastModifiedBy>
  <cp:revision>1</cp:revision>
  <dcterms:created xsi:type="dcterms:W3CDTF">2026-03-14T10:30:00Z</dcterms:created>
  <dcterms:modified xsi:type="dcterms:W3CDTF">2026-03-17T10:30:00Z</dcterms:modified>
  <cp:category>Internal</cp:category>
</cp:coreProperties>
</file>