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Programme Specification</w:t>
      </w:r>
    </w:p>
    <w:p>
      <w:pPr>
        <w:pStyle w:val="Heading2"/>
      </w:pPr>
      <w:r>
        <w:t>Nursing and Care</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t>Awarding body</w:t>
            </w:r>
          </w:p>
        </w:tc>
        <w:tc>
          <w:tcPr>
            <w:tcW w:type="dxa" w:w="4320"/>
          </w:tcPr>
          <w:p>
            <w:r>
              <w:rPr/>
              <w:t>Stonegrove University</w:t>
            </w:r>
          </w:p>
        </w:tc>
      </w:tr>
      <w:tr>
        <w:tc>
          <w:tcPr>
            <w:tcW w:type="dxa" w:w="4320"/>
          </w:tcPr>
          <w:p>
            <w:r>
              <w:rPr/>
              <w:t>Faculty</w:t>
            </w:r>
          </w:p>
        </w:tc>
        <w:tc>
          <w:tcPr>
            <w:tcW w:type="dxa" w:w="4320"/>
          </w:tcPr>
          <w:p>
            <w:r>
              <w:rPr/>
              <w:t>Faculty of Health and Education</w:t>
            </w:r>
          </w:p>
        </w:tc>
      </w:tr>
      <w:tr>
        <w:tc>
          <w:tcPr>
            <w:tcW w:type="dxa" w:w="4320"/>
          </w:tcPr>
          <w:p>
            <w:r>
              <w:rPr/>
              <w:t>Department</w:t>
            </w:r>
          </w:p>
        </w:tc>
        <w:tc>
          <w:tcPr>
            <w:tcW w:type="dxa" w:w="4320"/>
          </w:tcPr>
          <w:p>
            <w:r>
              <w:rPr/>
              <w:t>Department of Health</w:t>
            </w:r>
          </w:p>
        </w:tc>
      </w:tr>
      <w:tr>
        <w:tc>
          <w:tcPr>
            <w:tcW w:type="dxa" w:w="4320"/>
          </w:tcPr>
          <w:p>
            <w:r>
              <w:rPr/>
              <w:t>Programme title</w:t>
            </w:r>
          </w:p>
        </w:tc>
        <w:tc>
          <w:tcPr>
            <w:tcW w:type="dxa" w:w="4320"/>
          </w:tcPr>
          <w:p>
            <w:r>
              <w:rPr/>
              <w:t>Nursing and Care</w:t>
            </w:r>
          </w:p>
        </w:tc>
      </w:tr>
      <w:tr>
        <w:tc>
          <w:tcPr>
            <w:tcW w:type="dxa" w:w="4320"/>
          </w:tcPr>
          <w:p>
            <w:r>
              <w:rPr/>
              <w:t>Final award</w:t>
            </w:r>
          </w:p>
        </w:tc>
        <w:tc>
          <w:tcPr>
            <w:tcW w:type="dxa" w:w="4320"/>
          </w:tcPr>
          <w:p>
            <w:r>
              <w:rPr/>
              <w:t>Diploma of Higher Education in Nursing and Care (two years, full time), leading to registration via the partner route</w:t>
            </w:r>
          </w:p>
        </w:tc>
      </w:tr>
      <w:tr>
        <w:tc>
          <w:tcPr>
            <w:tcW w:type="dxa" w:w="4320"/>
          </w:tcPr>
          <w:p>
            <w:r>
              <w:rPr/>
              <w:t>Mode and duration</w:t>
            </w:r>
          </w:p>
        </w:tc>
        <w:tc>
          <w:tcPr>
            <w:tcW w:type="dxa" w:w="4320"/>
          </w:tcPr>
          <w:p>
            <w:r>
              <w:rPr/>
              <w:t>Full time, two years</w:t>
            </w:r>
          </w:p>
        </w:tc>
      </w:tr>
      <w:tr>
        <w:tc>
          <w:tcPr>
            <w:tcW w:type="dxa" w:w="4320"/>
          </w:tcPr>
          <w:p>
            <w:r>
              <w:rPr/>
              <w:t>Programme leader</w:t>
            </w:r>
          </w:p>
        </w:tc>
        <w:tc>
          <w:tcPr>
            <w:tcW w:type="dxa" w:w="4320"/>
          </w:tcPr>
          <w:p>
            <w:r>
              <w:rPr/>
              <w:t>Dagna Chiselhand</w:t>
            </w:r>
          </w:p>
        </w:tc>
      </w:tr>
      <w:tr>
        <w:tc>
          <w:tcPr>
            <w:tcW w:type="dxa" w:w="4320"/>
          </w:tcPr>
          <w:p>
            <w:r>
              <w:rPr/>
              <w:t>Last revalidated</w:t>
            </w:r>
          </w:p>
        </w:tc>
        <w:tc>
          <w:tcPr>
            <w:tcW w:type="dxa" w:w="4320"/>
          </w:tcPr>
          <w:p>
            <w:r>
              <w:rPr/>
              <w:t>1051</w:t>
            </w:r>
          </w:p>
        </w:tc>
      </w:tr>
      <w:tr>
        <w:tc>
          <w:tcPr>
            <w:tcW w:type="dxa" w:w="4320"/>
          </w:tcPr>
          <w:p>
            <w:r>
              <w:rPr/>
              <w:t>Next revalidation</w:t>
            </w:r>
          </w:p>
        </w:tc>
        <w:tc>
          <w:tcPr>
            <w:tcW w:type="dxa" w:w="4320"/>
          </w:tcPr>
          <w:p>
            <w:r>
              <w:rPr/>
              <w:t>1056</w:t>
            </w:r>
          </w:p>
        </w:tc>
      </w:tr>
    </w:tbl>
    <w:p>
      <w:pPr>
        <w:pStyle w:val="Heading2"/>
      </w:pPr>
      <w:r>
        <w:t>Aims</w:t>
      </w:r>
    </w:p>
    <w:p>
      <w:r>
        <w:rPr/>
        <w:t>To prepare students to practise safely, competently and compassionately as registered nurses and carers; to develop the judgement to recognise the limits of their own competence; to ground practice in evidence; and to produce practitioners who write things down and tell someone when something has gone wrong.</w:t>
      </w:r>
    </w:p>
    <w:p>
      <w:pPr>
        <w:pStyle w:val="Heading2"/>
      </w:pPr>
      <w:r>
        <w:t>Learning outcomes</w:t>
      </w:r>
    </w:p>
    <w:p>
      <w:r>
        <w:rPr/>
        <w:t>On completion, students will be able to:</w:t>
      </w:r>
    </w:p>
    <w:p>
      <w:pPr>
        <w:pStyle w:val="ListNumber"/>
      </w:pPr>
      <w:r>
        <w:rPr/>
        <w:t>Deliver fundamental care safely and with respect for the dignity of the person.</w:t>
      </w:r>
    </w:p>
    <w:p>
      <w:pPr>
        <w:pStyle w:val="ListNumber"/>
      </w:pPr>
      <w:r>
        <w:rPr/>
        <w:t>Assess, plan, implement and evaluate care under supervision and, by the end of Year 2, with increasing independence.</w:t>
      </w:r>
    </w:p>
    <w:p>
      <w:pPr>
        <w:pStyle w:val="ListNumber"/>
      </w:pPr>
      <w:r>
        <w:rPr/>
        <w:t>Administer medicines safely and accurately, and document administration correctly.</w:t>
      </w:r>
    </w:p>
    <w:p>
      <w:pPr>
        <w:pStyle w:val="ListNumber"/>
      </w:pPr>
      <w:r>
        <w:rPr/>
        <w:t>Communicate effectively with patients, families and the multidisciplinary team.</w:t>
      </w:r>
    </w:p>
    <w:p>
      <w:pPr>
        <w:pStyle w:val="ListNumber"/>
      </w:pPr>
      <w:r>
        <w:rPr/>
        <w:t>Recognise and escalate deterioration.</w:t>
      </w:r>
    </w:p>
    <w:p>
      <w:pPr>
        <w:pStyle w:val="ListNumber"/>
      </w:pPr>
      <w:r>
        <w:rPr/>
        <w:t>Practise within the professional code and the law.</w:t>
      </w:r>
    </w:p>
    <w:p>
      <w:pPr>
        <w:pStyle w:val="ListNumber"/>
      </w:pPr>
      <w:r>
        <w:rPr/>
        <w:t>Reflect on their own practice and act on feedback.</w:t>
      </w:r>
    </w:p>
    <w:p>
      <w:pPr>
        <w:pStyle w:val="Heading2"/>
      </w:pPr>
      <w:r>
        <w:t>Structure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Year</w:t>
            </w:r>
          </w:p>
        </w:tc>
        <w:tc>
          <w:tcPr>
            <w:tcW w:type="dxa" w:w="2160"/>
          </w:tcPr>
          <w:p>
            <w:r>
              <w:rPr>
                <w:b/>
              </w:rPr>
              <w:t>Modules</w:t>
            </w:r>
          </w:p>
        </w:tc>
        <w:tc>
          <w:tcPr>
            <w:tcW w:type="dxa" w:w="2160"/>
          </w:tcPr>
          <w:p>
            <w:r>
              <w:rPr>
                <w:b/>
              </w:rPr>
              <w:t>Credits</w:t>
            </w:r>
          </w:p>
        </w:tc>
        <w:tc>
          <w:tcPr>
            <w:tcW w:type="dxa" w:w="2160"/>
          </w:tcPr>
          <w:p>
            <w:r>
              <w:rPr>
                <w:b/>
              </w:rPr>
              <w:t>Placement</w:t>
            </w:r>
          </w:p>
        </w:tc>
      </w:tr>
      <w:tr>
        <w:tc>
          <w:tcPr>
            <w:tcW w:type="dxa" w:w="2160"/>
          </w:tcPr>
          <w:p>
            <w:r>
              <w:rPr/>
              <w:t>1</w:t>
            </w:r>
          </w:p>
        </w:tc>
        <w:tc>
          <w:tcPr>
            <w:tcW w:type="dxa" w:w="2160"/>
          </w:tcPr>
          <w:p>
            <w:r>
              <w:rPr/>
              <w:t>NC101 Foundations of Nursing and Care (40); NC102 Anatomy and Physiology for Care (20); NC103 Communication and Care (20); NC104 Health and Society (20); NC105 Evidence for Practice (20)</w:t>
            </w:r>
          </w:p>
        </w:tc>
        <w:tc>
          <w:tcPr>
            <w:tcW w:type="dxa" w:w="2160"/>
          </w:tcPr>
          <w:p>
            <w:r>
              <w:rPr/>
              <w:t>120</w:t>
            </w:r>
          </w:p>
        </w:tc>
        <w:tc>
          <w:tcPr>
            <w:tcW w:type="dxa" w:w="2160"/>
          </w:tcPr>
          <w:p>
            <w:r>
              <w:rPr/>
              <w:t>Four-week introductory placement in semester 2</w:t>
            </w:r>
          </w:p>
        </w:tc>
      </w:tr>
      <w:tr>
        <w:tc>
          <w:tcPr>
            <w:tcW w:type="dxa" w:w="2160"/>
          </w:tcPr>
          <w:p>
            <w:r>
              <w:rPr/>
              <w:t>2</w:t>
            </w:r>
          </w:p>
        </w:tc>
        <w:tc>
          <w:tcPr>
            <w:tcW w:type="dxa" w:w="2160"/>
          </w:tcPr>
          <w:p>
            <w:r>
              <w:rPr/>
              <w:t>NC201 Placement Practice 2 (40); NC202 Pharmacology for Practice (20); NC203 Care of the Deteriorating Patient (20); NC204 Mental Health and Wellbeing in Care (20); NC205 Leadership and Teamworking (20)</w:t>
            </w:r>
          </w:p>
        </w:tc>
        <w:tc>
          <w:tcPr>
            <w:tcW w:type="dxa" w:w="2160"/>
          </w:tcPr>
          <w:p>
            <w:r>
              <w:rPr/>
              <w:t>120</w:t>
            </w:r>
          </w:p>
        </w:tc>
        <w:tc>
          <w:tcPr>
            <w:tcW w:type="dxa" w:w="2160"/>
          </w:tcPr>
          <w:p>
            <w:r>
              <w:rPr/>
              <w:t>Two six-week placements</w:t>
            </w:r>
          </w:p>
        </w:tc>
      </w:tr>
    </w:tbl>
    <w:p>
      <w:pPr>
        <w:pStyle w:val="Heading2"/>
      </w:pPr>
      <w:r>
        <w:t>Assessment</w:t>
      </w:r>
    </w:p>
    <w:p>
      <w:r>
        <w:rPr/>
        <w:t>A mix of written examinations, coursework, practical skills assessments (OSCEs), placement records and reflective portfolios. Placement components are pass or fail and must be passed. The medicines calculation component of NC202 has a pass mark of 100%.</w:t>
      </w:r>
    </w:p>
    <w:p>
      <w:pPr>
        <w:pStyle w:val="Heading2"/>
      </w:pPr>
      <w:r>
        <w:t>Placements</w:t>
      </w:r>
    </w:p>
    <w:p>
      <w:r>
        <w:rPr/>
        <w:t>Placements are allocated by the Programme Support Team across approximately thirty providers. Students may not arrange or swap placements. Occupational health clearance and mandatory training are prerequisites.</w:t>
      </w:r>
    </w:p>
    <w:p>
      <w:pPr>
        <w:pStyle w:val="Heading2"/>
      </w:pPr>
      <w:r>
        <w:t>Admission</w:t>
      </w:r>
    </w:p>
    <w:p>
      <w:r>
        <w:rPr/>
        <w:t>Standard University entry requirements plus a satisfactory health declaration and enhanced vetting. Applicants are interviewed. Contextual offers are made in line with University policy.</w:t>
      </w:r>
    </w:p>
    <w:p>
      <w:pPr>
        <w:pStyle w:val="Heading2"/>
      </w:pPr>
      <w:r>
        <w:t>Progression and award</w:t>
      </w:r>
    </w:p>
    <w:p>
      <w:r>
        <w:rPr/>
        <w:t>Students must pass all modules to progress and to be awarded. There is no honours classification for this award.</w:t>
      </w:r>
    </w:p>
    <w:p>
      <w:pPr>
        <w:pStyle w:val="Heading2"/>
      </w:pPr>
      <w:r>
        <w:t>Fitness to practise</w:t>
      </w:r>
    </w:p>
    <w:p>
      <w:r>
        <w:rPr/>
        <w:t>Students are subject to the University's Fitness to Practise Procedure throughout.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PUBLIC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Programme specification Nursing and Care</dc:title>
  <dc:subject/>
  <dc:creator>Dagna Chiselhand</dc:creator>
  <cp:keywords/>
  <dc:description>generated by python-docx</dc:description>
  <cp:lastModifiedBy>Ollir Greenquill</cp:lastModifiedBy>
  <cp:revision>1</cp:revision>
  <dcterms:created xsi:type="dcterms:W3CDTF">2022-05-10T10:30:00Z</dcterms:created>
  <dcterms:modified xsi:type="dcterms:W3CDTF">2024-07-02T10:30:00Z</dcterms:modified>
  <cp:category>Public</cp:category>
</cp:coreProperties>
</file>