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Fitness to Practise: case notes (working copy)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tc>
      </w:tr>
      <w:tr>
        <w:tc>
          <w:tcPr>
            <w:tcW w:type="dxa" w:w="4320"/>
          </w:tcPr>
          <w:p>
            <w:r>
              <w:rPr/>
              <w:t>Case reference</w:t>
            </w:r>
          </w:p>
        </w:tc>
        <w:tc>
          <w:tcPr>
            <w:tcW w:type="dxa" w:w="4320"/>
          </w:tcPr>
          <w:p>
            <w:r>
              <w:rPr/>
              <w:t>FtP/1052/04</w:t>
            </w:r>
          </w:p>
        </w:tc>
      </w:tr>
      <w:tr>
        <w:tc>
          <w:tcPr>
            <w:tcW w:type="dxa" w:w="4320"/>
          </w:tcPr>
          <w:p>
            <w:r>
              <w:rPr/>
              <w:t>Candidate</w:t>
            </w:r>
          </w:p>
        </w:tc>
        <w:tc>
          <w:tcPr>
            <w:tcW w:type="dxa" w:w="4320"/>
          </w:tcPr>
          <w:p>
            <w:r>
              <w:rPr/>
              <w:t>Kaelen Firestride</w:t>
            </w:r>
          </w:p>
        </w:tc>
      </w:tr>
      <w:tr>
        <w:tc>
          <w:tcPr>
            <w:tcW w:type="dxa" w:w="4320"/>
          </w:tcPr>
          <w:p>
            <w:r>
              <w:rPr/>
              <w:t>Student ID</w:t>
            </w:r>
          </w:p>
        </w:tc>
        <w:tc>
          <w:tcPr>
            <w:tcW w:type="dxa" w:w="4320"/>
          </w:tcPr>
          <w:p>
            <w:r>
              <w:rPr/>
              <w:t>1052-NC-0288</w:t>
            </w:r>
          </w:p>
        </w:tc>
      </w:tr>
      <w:tr>
        <w:tc>
          <w:tcPr>
            <w:tcW w:type="dxa" w:w="4320"/>
          </w:tcPr>
          <w:p>
            <w:r>
              <w:rPr/>
              <w:t>Programme</w:t>
            </w:r>
          </w:p>
        </w:tc>
        <w:tc>
          <w:tcPr>
            <w:tcW w:type="dxa" w:w="4320"/>
          </w:tcPr>
          <w:p>
            <w:r>
              <w:rPr/>
              <w:t>Nursing and Care, Year 2 (second placement)</w:t>
            </w:r>
          </w:p>
        </w:tc>
      </w:tr>
      <w:tr>
        <w:tc>
          <w:tcPr>
            <w:tcW w:type="dxa" w:w="4320"/>
          </w:tcPr>
          <w:p>
            <w:r>
              <w:rPr/>
              <w:t>Referred by</w:t>
            </w:r>
          </w:p>
        </w:tc>
        <w:tc>
          <w:tcPr>
            <w:tcW w:type="dxa" w:w="4320"/>
          </w:tcPr>
          <w:p>
            <w:r>
              <w:rPr/>
              <w:t>Placement mentor, Obsidian Vault Infirmary, via Placements Coordinator</w:t>
            </w:r>
          </w:p>
        </w:tc>
      </w:tr>
      <w:tr>
        <w:tc>
          <w:tcPr>
            <w:tcW w:type="dxa" w:w="4320"/>
          </w:tcPr>
          <w:p>
            <w:r>
              <w:rPr/>
              <w:t>Date of referral</w:t>
            </w:r>
          </w:p>
        </w:tc>
        <w:tc>
          <w:tcPr>
            <w:tcW w:type="dxa" w:w="4320"/>
          </w:tcPr>
          <w:p>
            <w:r>
              <w:rPr/>
              <w:t>14 November 1052</w:t>
            </w:r>
          </w:p>
        </w:tc>
      </w:tr>
      <w:tr>
        <w:tc>
          <w:tcPr>
            <w:tcW w:type="dxa" w:w="4320"/>
          </w:tcPr>
          <w:p>
            <w:r>
              <w:rPr/>
              <w:t>Lead</w:t>
            </w:r>
          </w:p>
        </w:tc>
        <w:tc>
          <w:tcPr>
            <w:tcW w:type="dxa" w:w="4320"/>
          </w:tcPr>
          <w:p>
            <w:r>
              <w:rPr/>
              <w:t>Dr Nyssa Memoryvault</w:t>
            </w:r>
          </w:p>
        </w:tc>
      </w:tr>
    </w:tbl>
    <w:p>
      <w:pPr>
        <w:pStyle w:val="Heading2"/>
      </w:pPr>
      <w:r>
        <w:t>1. The referral</w:t>
      </w:r>
    </w:p>
    <w:p>
      <w:r>
        <w:rPr/>
        <w:t>On 12 November 1052, during a supervised medication round, the candidate recorded on the drug chart that a dose had been administered to a patient when it had not. The mentor identified the discrepancy within the hour on checking the stock count. The dose was then administered under supervision; no harm to the patient resulted. The candidate, when asked, said that he had "got ahead of himself" and had signed the chart in anticipation of giving the dose, intending to give it immediately afterwards, and had then been called away.</w:t>
      </w:r>
    </w:p>
    <w:p>
      <w:pPr>
        <w:pStyle w:val="Heading2"/>
      </w:pPr>
      <w:r>
        <w:t>2. Initial assessment</w:t>
      </w:r>
    </w:p>
    <w:p>
      <w:r>
        <w:rPr/>
        <w:t>In my assessment the referral is properly made. Recording an administration that has not occurred is a documentation error of the kind the profession treats as serious. It is not, on the account given, dishonest: the candidate did not conceal the error and gave a consistent account.</w:t>
      </w:r>
    </w:p>
    <w:p>
      <w:pPr>
        <w:pStyle w:val="Heading2"/>
      </w:pPr>
      <w:r>
        <w:t>3. Meeting with the candidate, 21 November 1052</w:t>
      </w:r>
    </w:p>
    <w:p>
      <w:r>
        <w:rPr/>
        <w:t>The candidate was visibly distressed. He repeated the account above without variation. He said the ward had been short-staffed and that he had been trying to be useful. He asked whether he would be removed from the programme. I explained the procedure.</w:t>
      </w:r>
    </w:p>
    <w:p>
      <w:pPr>
        <w:pStyle w:val="Heading2"/>
      </w:pPr>
      <w:r>
        <w:t>4. Mentor's statement</w:t>
      </w:r>
    </w:p>
    <w:p>
      <w:r>
        <w:rPr/>
        <w:t>Received 25 November. Consistent with the above. Recommends additional supervised medication practice before return; does not recommend removal.</w:t>
      </w:r>
    </w:p>
    <w:p>
      <w:pPr>
        <w:pStyle w:val="Heading2"/>
      </w:pPr>
      <w:r>
        <w:t>5. Preliminary view</w:t>
      </w:r>
    </w:p>
    <w:p>
      <w:r>
        <w:rPr/>
        <w:t>Documentation error without dishonesty. Warning; supervised package; reflective account. Not removal. Panel to be convened January.</w:t>
      </w:r>
    </w:p>
    <w:p>
      <w:r>
        <w:rPr/>
        <w:t>N. Memoryvault</w:t>
      </w:r>
    </w:p>
    <w:p>
      <w:r>
        <w:rPr>
          <w:i/>
        </w:rPr>
        <w:t>(Copy saved to the Health drive FtP folder by HD for the Head of Department's file, 28.11.52. To be destroyed after the panel.)</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Stonegrove College of the Vale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Georgia" w:hAnsi="Georgia"/>
        <w:color w:val="7A1F2E"/>
      </w:rPr>
      <w:t>Stonegrove College of the Vale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 Firestride notes Nov</dc:title>
  <dc:subject/>
  <dc:creator>Nyssa Memoryvault</dc:creator>
  <cp:keywords/>
  <dc:description>generated by python-docx</dc:description>
  <cp:lastModifiedBy>Hrogar Dourstone</cp:lastModifiedBy>
  <cp:revision>1</cp:revision>
  <dcterms:created xsi:type="dcterms:W3CDTF">2025-11-16T10:30:00Z</dcterms:created>
  <dcterms:modified xsi:type="dcterms:W3CDTF">2025-11-28T10:30:00Z</dcterms:modified>
  <cp:category/>
</cp:coreProperties>
</file>