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SENATE</w:t>
      </w:r>
    </w:p>
    <w:p>
      <w:pPr>
        <w:pStyle w:val="Heading2"/>
      </w:pPr>
      <w:r>
        <w:t>Minutes of the meeting held on 4 December 1052 at 14:00 in the Council Chamber</w:t>
      </w:r>
    </w:p>
    <w:p>
      <w:r>
        <w:rPr>
          <w:b/>
        </w:rPr>
        <w:t>Present:</w:t>
      </w:r>
      <w:r>
        <w:rPr/>
        <w:t xml:space="preserve"> Professor T. Illumenbark (Vice-Chancellor, Chair), Professor C. Goldmantle (Dean, Health and Education), Dr H. Dourstone, Dr S. Emberthorn, Dr C. Candletome, Dr B. Cragshield (Head of Quality), Q. Deepmirror (Head of Planning and Insight), R. Moondrift (Head of Communications), and eleven other members of Senate.</w:t>
      </w:r>
    </w:p>
    <w:p>
      <w:r>
        <w:rPr>
          <w:b/>
        </w:rPr>
        <w:t>In attendance:</w:t>
      </w:r>
      <w:r>
        <w:rPr/>
        <w:t xml:space="preserve"> T. Everjudged (University Secretary), E. Dewscroll (Information Governance Manager and Data Protection Officer), G. Bannerstone (Governance Officer, Secretary).</w:t>
      </w:r>
    </w:p>
    <w:p>
      <w:r>
        <w:rPr>
          <w:b/>
        </w:rPr>
        <w:t>Apologies:</w:t>
      </w:r>
      <w:r>
        <w:rPr/>
        <w:t xml:space="preserve"> F. Gridforge (Head of Digital Services), and four members.</w:t>
      </w:r>
    </w:p>
    <w:p>
      <w:r>
        <w:rPr/>
        <w:t>The Chair confirmed that the meeting was being recorded and transcribed for the purpose of producing minutes, as stated on the agenda, and that the transcript would be deleted on approval of the minutes.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Minute</w:t>
            </w:r>
          </w:p>
        </w:tc>
        <w:tc>
          <w:tcPr>
            <w:tcW w:type="dxa" w:w="2880"/>
          </w:tcPr>
          <w:p>
            <w:r>
              <w:rPr>
                <w:b/>
              </w:rPr>
              <w:t>Item</w:t>
            </w:r>
          </w:p>
        </w:tc>
        <w:tc>
          <w:tcPr>
            <w:tcW w:type="dxa" w:w="2880"/>
          </w:tcPr>
          <w:p>
            <w:r>
              <w:rPr>
                <w:b/>
              </w:rPr>
              <w:t>Action</w:t>
            </w:r>
          </w:p>
        </w:tc>
      </w:tr>
      <w:tr>
        <w:tc>
          <w:tcPr>
            <w:tcW w:type="dxa" w:w="2880"/>
          </w:tcPr>
          <w:p>
            <w:r>
              <w:rPr/>
              <w:t>24.1</w:t>
            </w:r>
          </w:p>
        </w:tc>
        <w:tc>
          <w:tcPr>
            <w:tcW w:type="dxa" w:w="2880"/>
          </w:tcPr>
          <w:p>
            <w:r>
              <w:rPr>
                <w:b/>
              </w:rPr>
              <w:t>Welcome and apologies.</w:t>
            </w:r>
            <w:r>
              <w:rPr/>
              <w:t xml:space="preserve"> Apologies were NOTED as above.</w:t>
            </w:r>
          </w:p>
        </w:tc>
        <w:tc>
          <w:tcPr>
            <w:tcW w:type="dxa" w:w="2880"/>
          </w:tcPr>
          <w:p/>
        </w:tc>
      </w:tr>
      <w:tr>
        <w:tc>
          <w:tcPr>
            <w:tcW w:type="dxa" w:w="2880"/>
          </w:tcPr>
          <w:p>
            <w:r>
              <w:rPr/>
              <w:t>24.2</w:t>
            </w:r>
          </w:p>
        </w:tc>
        <w:tc>
          <w:tcPr>
            <w:tcW w:type="dxa" w:w="2880"/>
          </w:tcPr>
          <w:p>
            <w:r>
              <w:rPr>
                <w:b/>
              </w:rPr>
              <w:t>Declarations of interest.</w:t>
            </w:r>
            <w:r>
              <w:rPr/>
              <w:t xml:space="preserve"> None.</w:t>
            </w:r>
          </w:p>
        </w:tc>
        <w:tc>
          <w:tcPr>
            <w:tcW w:type="dxa" w:w="2880"/>
          </w:tcPr>
          <w:p/>
        </w:tc>
      </w:tr>
      <w:tr>
        <w:tc>
          <w:tcPr>
            <w:tcW w:type="dxa" w:w="2880"/>
          </w:tcPr>
          <w:p>
            <w:r>
              <w:rPr/>
              <w:t>24.3</w:t>
            </w:r>
          </w:p>
        </w:tc>
        <w:tc>
          <w:tcPr>
            <w:tcW w:type="dxa" w:w="2880"/>
          </w:tcPr>
          <w:p>
            <w:r>
              <w:rPr>
                <w:b/>
              </w:rPr>
              <w:t>Minutes of the meeting held on 9 October 1052.</w:t>
            </w:r>
            <w:r>
              <w:rPr/>
              <w:t xml:space="preserve"> APPROVED as an accurate record.</w:t>
            </w:r>
          </w:p>
        </w:tc>
        <w:tc>
          <w:tcPr>
            <w:tcW w:type="dxa" w:w="2880"/>
          </w:tcPr>
          <w:p/>
        </w:tc>
      </w:tr>
      <w:tr>
        <w:tc>
          <w:tcPr>
            <w:tcW w:type="dxa" w:w="2880"/>
          </w:tcPr>
          <w:p>
            <w:r>
              <w:rPr/>
              <w:t>24.4</w:t>
            </w:r>
          </w:p>
        </w:tc>
        <w:tc>
          <w:tcPr>
            <w:tcW w:type="dxa" w:w="2880"/>
          </w:tcPr>
          <w:p>
            <w:r>
              <w:rPr>
                <w:b/>
              </w:rPr>
              <w:t>Matters arising and action log</w:t>
            </w:r>
            <w:r>
              <w:rPr/>
              <w:t xml:space="preserve"> (S/1052/36). Senate NOTED the action log. All actions from the October meeting were complete save 22.7 (programme closure procedure), carried forward.</w:t>
            </w:r>
          </w:p>
        </w:tc>
        <w:tc>
          <w:tcPr>
            <w:tcW w:type="dxa" w:w="2880"/>
          </w:tcPr>
          <w:p>
            <w:r>
              <w:rPr/>
              <w:t>Head of Quality, 5 Feb 1053</w:t>
            </w:r>
          </w:p>
        </w:tc>
      </w:tr>
      <w:tr>
        <w:tc>
          <w:tcPr>
            <w:tcW w:type="dxa" w:w="2880"/>
          </w:tcPr>
          <w:p>
            <w:r>
              <w:rPr/>
              <w:t>24.5</w:t>
            </w:r>
          </w:p>
        </w:tc>
        <w:tc>
          <w:tcPr>
            <w:tcW w:type="dxa" w:w="2880"/>
          </w:tcPr>
          <w:p>
            <w:r>
              <w:rPr>
                <w:b/>
              </w:rPr>
              <w:t>Vice-Chancellor's report</w:t>
            </w:r>
            <w:r>
              <w:rPr/>
              <w:t xml:space="preserve"> (S/1052/37). Senate NOTED the report.</w:t>
            </w:r>
          </w:p>
        </w:tc>
        <w:tc>
          <w:tcPr>
            <w:tcW w:type="dxa" w:w="2880"/>
          </w:tcPr>
          <w:p/>
        </w:tc>
      </w:tr>
      <w:tr>
        <w:tc>
          <w:tcPr>
            <w:tcW w:type="dxa" w:w="2880"/>
          </w:tcPr>
          <w:p>
            <w:r>
              <w:rPr/>
              <w:t>24.6</w:t>
            </w:r>
          </w:p>
        </w:tc>
        <w:tc>
          <w:tcPr>
            <w:tcW w:type="dxa" w:w="2880"/>
          </w:tcPr>
          <w:p>
            <w:r>
              <w:rPr>
                <w:b/>
              </w:rPr>
              <w:t>Annual report on student numbers</w:t>
            </w:r>
            <w:r>
              <w:rPr/>
              <w:t xml:space="preserve"> (S/1052/38). The Head of Planning and Insight presented the report. Senate NOTED the report and the caveats on page 2.</w:t>
            </w:r>
          </w:p>
        </w:tc>
        <w:tc>
          <w:tcPr>
            <w:tcW w:type="dxa" w:w="2880"/>
          </w:tcPr>
          <w:p/>
        </w:tc>
      </w:tr>
      <w:tr>
        <w:tc>
          <w:tcPr>
            <w:tcW w:type="dxa" w:w="2880"/>
          </w:tcPr>
          <w:p>
            <w:r>
              <w:rPr/>
              <w:t>24.7</w:t>
            </w:r>
          </w:p>
        </w:tc>
        <w:tc>
          <w:tcPr>
            <w:tcW w:type="dxa" w:w="2880"/>
          </w:tcPr>
          <w:p>
            <w:r>
              <w:rPr>
                <w:b/>
              </w:rPr>
              <w:t>Draft Artificial Intelligence Acceptable Use Policy</w:t>
            </w:r>
            <w:r>
              <w:rPr/>
              <w:t xml:space="preserve"> (S/1052/41). The Information Governance Manager presented the draft, version 0.3, noting that it had been produced from two earlier drafts and that the approved tool it referred to was not yet procured. Senate CONSIDERED the draft. In discussion, members raised: whether the University should adopt generative tools at all given their known unreliability, with one member stating that the institution would be holding itself to a lower standard than it required of students; the absence of provision on staff use of tools in marking and feedback; the need for the corporate paper template to carry the declaration required at section 7.2; the definition of aggregated data at section 5.3 and the need for a published threshold; the timing and content of the all-staff announcement, and the naming of the institutional tool; the first point of contact for queries; the twelve-month review period; the need for practical training rather than policy alone; and whether "the knowledge of those present" was a sufficient test for meeting transcription. The Information Governance Manager responded that the policy set a higher standard than the present position, in which no policy existed; that the person, not the tool, was accountable; and that she accepted the drafting points raised. The University Secretary proposed that Senate approve the policy in principle and refer it back for completion. Senate RESOLVED: (a) to APPROVE the policy in principle; (b) to REFER it back for a Technical Annex from Digital Services, to be produced alongside the institutional tool; wording from Quality on marking and feedback; wording from Planning and Insight on aggregated data, with a published threshold; amendment of the roles table so that the Information Governance Manager is the first point of contact; and a review period of six months; (c) that the Governance Officer amend the committee paper template to carry the section 7.2 declaration; (d) that Communications be consulted on the name of the tool and on the announcement, and that the announcement coincide with the tool's availability; (e) that Information Governance and Digital Services produce a training module; (f) that the final policy with annex be brought to the meeting of 5 February 1053. Dr Dourstone asked that his dissent from the adoption of generative tools for internal material be RECORDED, and Senate AGREED that a note from him setting out the alternative position be included in the February papers.</w:t>
            </w:r>
          </w:p>
        </w:tc>
        <w:tc>
          <w:tcPr>
            <w:tcW w:type="dxa" w:w="2880"/>
          </w:tcPr>
          <w:p>
            <w:r>
              <w:rPr/>
              <w:t>IGM: revised draft to members by 20 Jan 1053. Head of Digital Services: Technical Annex, 20 Jan 1053. Head of Quality: wording, 20 Dec 1052. Head of P and I: wording and threshold, 20 Dec 1052. Governance Officer: template, 20 Dec 1052. Head of Communications: name and announcement plan, 20 Jan 1053. IGM and Head of DS: training module, 5 Feb 1053. Dr Dourstone: note, 20 Jan 1053.</w:t>
            </w:r>
          </w:p>
        </w:tc>
      </w:tr>
      <w:tr>
        <w:tc>
          <w:tcPr>
            <w:tcW w:type="dxa" w:w="2880"/>
          </w:tcPr>
          <w:p>
            <w:r>
              <w:rPr/>
              <w:t>24.8</w:t>
            </w:r>
          </w:p>
        </w:tc>
        <w:tc>
          <w:tcPr>
            <w:tcW w:type="dxa" w:w="2880"/>
          </w:tcPr>
          <w:p>
            <w:r>
              <w:rPr>
                <w:b/>
              </w:rPr>
              <w:t>Periodic review schedule 1053-54</w:t>
            </w:r>
            <w:r>
              <w:rPr/>
              <w:t xml:space="preserve"> (S/1052/42). Senate APPROVED the schedule.</w:t>
            </w:r>
          </w:p>
        </w:tc>
        <w:tc>
          <w:tcPr>
            <w:tcW w:type="dxa" w:w="2880"/>
          </w:tcPr>
          <w:p/>
        </w:tc>
      </w:tr>
      <w:tr>
        <w:tc>
          <w:tcPr>
            <w:tcW w:type="dxa" w:w="2880"/>
          </w:tcPr>
          <w:p>
            <w:r>
              <w:rPr/>
              <w:t>24.9</w:t>
            </w:r>
          </w:p>
        </w:tc>
        <w:tc>
          <w:tcPr>
            <w:tcW w:type="dxa" w:w="2880"/>
          </w:tcPr>
          <w:p>
            <w:r>
              <w:rPr>
                <w:b/>
              </w:rPr>
              <w:t>Report from the Quality Committee</w:t>
            </w:r>
            <w:r>
              <w:rPr/>
              <w:t xml:space="preserve"> (S/1052/43). Senate NOTED the report.</w:t>
            </w:r>
          </w:p>
        </w:tc>
        <w:tc>
          <w:tcPr>
            <w:tcW w:type="dxa" w:w="2880"/>
          </w:tcPr>
          <w:p/>
        </w:tc>
      </w:tr>
      <w:tr>
        <w:tc>
          <w:tcPr>
            <w:tcW w:type="dxa" w:w="2880"/>
          </w:tcPr>
          <w:p>
            <w:r>
              <w:rPr/>
              <w:t>24.10</w:t>
            </w:r>
          </w:p>
        </w:tc>
        <w:tc>
          <w:tcPr>
            <w:tcW w:type="dxa" w:w="2880"/>
          </w:tcPr>
          <w:p>
            <w:r>
              <w:rPr>
                <w:b/>
              </w:rPr>
              <w:t>Any other business.</w:t>
            </w:r>
            <w:r>
              <w:rPr/>
              <w:t xml:space="preserve"> None.</w:t>
            </w:r>
          </w:p>
        </w:tc>
        <w:tc>
          <w:tcPr>
            <w:tcW w:type="dxa" w:w="2880"/>
          </w:tcPr>
          <w:p/>
        </w:tc>
      </w:tr>
      <w:tr>
        <w:tc>
          <w:tcPr>
            <w:tcW w:type="dxa" w:w="2880"/>
          </w:tcPr>
          <w:p>
            <w:r>
              <w:rPr/>
              <w:t>24.11</w:t>
            </w:r>
          </w:p>
        </w:tc>
        <w:tc>
          <w:tcPr>
            <w:tcW w:type="dxa" w:w="2880"/>
          </w:tcPr>
          <w:p>
            <w:r>
              <w:rPr>
                <w:b/>
              </w:rPr>
              <w:t>Date of next meeting.</w:t>
            </w:r>
            <w:r>
              <w:rPr/>
              <w:t xml:space="preserve"> 5 February 1053, 14:00.</w:t>
            </w:r>
          </w:p>
        </w:tc>
        <w:tc>
          <w:tcPr>
            <w:tcW w:type="dxa" w:w="2880"/>
          </w:tcPr>
          <w:p/>
        </w:tc>
      </w:tr>
    </w:tbl>
    <w:p>
      <w:r>
        <w:rPr>
          <w:b/>
        </w:rPr>
        <w:t>Action 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Ref</w:t>
            </w:r>
          </w:p>
        </w:tc>
        <w:tc>
          <w:tcPr>
            <w:tcW w:type="dxa" w:w="1728"/>
          </w:tcPr>
          <w:p>
            <w:r>
              <w:rPr>
                <w:b/>
              </w:rPr>
              <w:t>Action</w:t>
            </w:r>
          </w:p>
        </w:tc>
        <w:tc>
          <w:tcPr>
            <w:tcW w:type="dxa" w:w="1728"/>
          </w:tcPr>
          <w:p>
            <w:r>
              <w:rPr>
                <w:b/>
              </w:rPr>
              <w:t>Owner</w:t>
            </w:r>
          </w:p>
        </w:tc>
        <w:tc>
          <w:tcPr>
            <w:tcW w:type="dxa" w:w="1728"/>
          </w:tcPr>
          <w:p>
            <w:r>
              <w:rPr>
                <w:b/>
              </w:rPr>
              <w:t>Due</w:t>
            </w:r>
          </w:p>
        </w:tc>
        <w:tc>
          <w:tcPr>
            <w:tcW w:type="dxa" w:w="1728"/>
          </w:tcPr>
          <w:p>
            <w:r>
              <w:rPr>
                <w:b/>
              </w:rPr>
              <w:t>Status</w:t>
            </w:r>
          </w:p>
        </w:tc>
      </w:tr>
      <w:tr>
        <w:tc>
          <w:tcPr>
            <w:tcW w:type="dxa" w:w="1728"/>
          </w:tcPr>
          <w:p>
            <w:r>
              <w:rPr/>
              <w:t>22.7</w:t>
            </w:r>
          </w:p>
        </w:tc>
        <w:tc>
          <w:tcPr>
            <w:tcW w:type="dxa" w:w="1728"/>
          </w:tcPr>
          <w:p>
            <w:r>
              <w:rPr/>
              <w:t>Programme closure procedure</w:t>
            </w:r>
          </w:p>
        </w:tc>
        <w:tc>
          <w:tcPr>
            <w:tcW w:type="dxa" w:w="1728"/>
          </w:tcPr>
          <w:p>
            <w:r>
              <w:rPr/>
              <w:t>Head of Quality</w:t>
            </w:r>
          </w:p>
        </w:tc>
        <w:tc>
          <w:tcPr>
            <w:tcW w:type="dxa" w:w="1728"/>
          </w:tcPr>
          <w:p>
            <w:r>
              <w:rPr/>
              <w:t>5 Feb 1053</w:t>
            </w:r>
          </w:p>
        </w:tc>
        <w:tc>
          <w:tcPr>
            <w:tcW w:type="dxa" w:w="1728"/>
          </w:tcPr>
          <w:p>
            <w:r>
              <w:rPr/>
              <w:t>Open</w:t>
            </w:r>
          </w:p>
        </w:tc>
      </w:tr>
      <w:tr>
        <w:tc>
          <w:tcPr>
            <w:tcW w:type="dxa" w:w="1728"/>
          </w:tcPr>
          <w:p>
            <w:r>
              <w:rPr/>
              <w:t>24.7a</w:t>
            </w:r>
          </w:p>
        </w:tc>
        <w:tc>
          <w:tcPr>
            <w:tcW w:type="dxa" w:w="1728"/>
          </w:tcPr>
          <w:p>
            <w:r>
              <w:rPr/>
              <w:t>Revised AI policy draft to members</w:t>
            </w:r>
          </w:p>
        </w:tc>
        <w:tc>
          <w:tcPr>
            <w:tcW w:type="dxa" w:w="1728"/>
          </w:tcPr>
          <w:p>
            <w:r>
              <w:rPr/>
              <w:t>Information Governance Manager</w:t>
            </w:r>
          </w:p>
        </w:tc>
        <w:tc>
          <w:tcPr>
            <w:tcW w:type="dxa" w:w="1728"/>
          </w:tcPr>
          <w:p>
            <w:r>
              <w:rPr/>
              <w:t>20 Jan 1053</w:t>
            </w:r>
          </w:p>
        </w:tc>
        <w:tc>
          <w:tcPr>
            <w:tcW w:type="dxa" w:w="1728"/>
          </w:tcPr>
          <w:p>
            <w:r>
              <w:rPr/>
              <w:t>Open</w:t>
            </w:r>
          </w:p>
        </w:tc>
      </w:tr>
      <w:tr>
        <w:tc>
          <w:tcPr>
            <w:tcW w:type="dxa" w:w="1728"/>
          </w:tcPr>
          <w:p>
            <w:r>
              <w:rPr/>
              <w:t>24.7b</w:t>
            </w:r>
          </w:p>
        </w:tc>
        <w:tc>
          <w:tcPr>
            <w:tcW w:type="dxa" w:w="1728"/>
          </w:tcPr>
          <w:p>
            <w:r>
              <w:rPr/>
              <w:t>Technical Annex</w:t>
            </w:r>
          </w:p>
        </w:tc>
        <w:tc>
          <w:tcPr>
            <w:tcW w:type="dxa" w:w="1728"/>
          </w:tcPr>
          <w:p>
            <w:r>
              <w:rPr/>
              <w:t>Head of Digital Services</w:t>
            </w:r>
          </w:p>
        </w:tc>
        <w:tc>
          <w:tcPr>
            <w:tcW w:type="dxa" w:w="1728"/>
          </w:tcPr>
          <w:p>
            <w:r>
              <w:rPr/>
              <w:t>20 Jan 1053</w:t>
            </w:r>
          </w:p>
        </w:tc>
        <w:tc>
          <w:tcPr>
            <w:tcW w:type="dxa" w:w="1728"/>
          </w:tcPr>
          <w:p>
            <w:r>
              <w:rPr/>
              <w:t>Open</w:t>
            </w:r>
          </w:p>
        </w:tc>
      </w:tr>
      <w:tr>
        <w:tc>
          <w:tcPr>
            <w:tcW w:type="dxa" w:w="1728"/>
          </w:tcPr>
          <w:p>
            <w:r>
              <w:rPr/>
              <w:t>24.7c</w:t>
            </w:r>
          </w:p>
        </w:tc>
        <w:tc>
          <w:tcPr>
            <w:tcW w:type="dxa" w:w="1728"/>
          </w:tcPr>
          <w:p>
            <w:r>
              <w:rPr/>
              <w:t>Wording on marking and feedback</w:t>
            </w:r>
          </w:p>
        </w:tc>
        <w:tc>
          <w:tcPr>
            <w:tcW w:type="dxa" w:w="1728"/>
          </w:tcPr>
          <w:p>
            <w:r>
              <w:rPr/>
              <w:t>Head of Quality</w:t>
            </w:r>
          </w:p>
        </w:tc>
        <w:tc>
          <w:tcPr>
            <w:tcW w:type="dxa" w:w="1728"/>
          </w:tcPr>
          <w:p>
            <w:r>
              <w:rPr/>
              <w:t>20 Dec 1052</w:t>
            </w:r>
          </w:p>
        </w:tc>
        <w:tc>
          <w:tcPr>
            <w:tcW w:type="dxa" w:w="1728"/>
          </w:tcPr>
          <w:p>
            <w:r>
              <w:rPr/>
              <w:t>Open</w:t>
            </w:r>
          </w:p>
        </w:tc>
      </w:tr>
      <w:tr>
        <w:tc>
          <w:tcPr>
            <w:tcW w:type="dxa" w:w="1728"/>
          </w:tcPr>
          <w:p>
            <w:r>
              <w:rPr/>
              <w:t>24.7d</w:t>
            </w:r>
          </w:p>
        </w:tc>
        <w:tc>
          <w:tcPr>
            <w:tcW w:type="dxa" w:w="1728"/>
          </w:tcPr>
          <w:p>
            <w:r>
              <w:rPr/>
              <w:t>Wording on aggregated data; publish threshold</w:t>
            </w:r>
          </w:p>
        </w:tc>
        <w:tc>
          <w:tcPr>
            <w:tcW w:type="dxa" w:w="1728"/>
          </w:tcPr>
          <w:p>
            <w:r>
              <w:rPr/>
              <w:t>Head of Planning and Insight</w:t>
            </w:r>
          </w:p>
        </w:tc>
        <w:tc>
          <w:tcPr>
            <w:tcW w:type="dxa" w:w="1728"/>
          </w:tcPr>
          <w:p>
            <w:r>
              <w:rPr/>
              <w:t>20 Dec 1052</w:t>
            </w:r>
          </w:p>
        </w:tc>
        <w:tc>
          <w:tcPr>
            <w:tcW w:type="dxa" w:w="1728"/>
          </w:tcPr>
          <w:p>
            <w:r>
              <w:rPr/>
              <w:t>Open</w:t>
            </w:r>
          </w:p>
        </w:tc>
      </w:tr>
      <w:tr>
        <w:tc>
          <w:tcPr>
            <w:tcW w:type="dxa" w:w="1728"/>
          </w:tcPr>
          <w:p>
            <w:r>
              <w:rPr/>
              <w:t>24.7e</w:t>
            </w:r>
          </w:p>
        </w:tc>
        <w:tc>
          <w:tcPr>
            <w:tcW w:type="dxa" w:w="1728"/>
          </w:tcPr>
          <w:p>
            <w:r>
              <w:rPr/>
              <w:t>Amend committee paper template</w:t>
            </w:r>
          </w:p>
        </w:tc>
        <w:tc>
          <w:tcPr>
            <w:tcW w:type="dxa" w:w="1728"/>
          </w:tcPr>
          <w:p>
            <w:r>
              <w:rPr/>
              <w:t>Governance Officer</w:t>
            </w:r>
          </w:p>
        </w:tc>
        <w:tc>
          <w:tcPr>
            <w:tcW w:type="dxa" w:w="1728"/>
          </w:tcPr>
          <w:p>
            <w:r>
              <w:rPr/>
              <w:t>20 Dec 1052</w:t>
            </w:r>
          </w:p>
        </w:tc>
        <w:tc>
          <w:tcPr>
            <w:tcW w:type="dxa" w:w="1728"/>
          </w:tcPr>
          <w:p>
            <w:r>
              <w:rPr/>
              <w:t>Open</w:t>
            </w:r>
          </w:p>
        </w:tc>
      </w:tr>
      <w:tr>
        <w:tc>
          <w:tcPr>
            <w:tcW w:type="dxa" w:w="1728"/>
          </w:tcPr>
          <w:p>
            <w:r>
              <w:rPr/>
              <w:t>24.7f</w:t>
            </w:r>
          </w:p>
        </w:tc>
        <w:tc>
          <w:tcPr>
            <w:tcW w:type="dxa" w:w="1728"/>
          </w:tcPr>
          <w:p>
            <w:r>
              <w:rPr/>
              <w:t>Name and announcement plan</w:t>
            </w:r>
          </w:p>
        </w:tc>
        <w:tc>
          <w:tcPr>
            <w:tcW w:type="dxa" w:w="1728"/>
          </w:tcPr>
          <w:p>
            <w:r>
              <w:rPr/>
              <w:t>Head of Communications</w:t>
            </w:r>
          </w:p>
        </w:tc>
        <w:tc>
          <w:tcPr>
            <w:tcW w:type="dxa" w:w="1728"/>
          </w:tcPr>
          <w:p>
            <w:r>
              <w:rPr/>
              <w:t>20 Jan 1053</w:t>
            </w:r>
          </w:p>
        </w:tc>
        <w:tc>
          <w:tcPr>
            <w:tcW w:type="dxa" w:w="1728"/>
          </w:tcPr>
          <w:p>
            <w:r>
              <w:rPr/>
              <w:t>Open</w:t>
            </w:r>
          </w:p>
        </w:tc>
      </w:tr>
      <w:tr>
        <w:tc>
          <w:tcPr>
            <w:tcW w:type="dxa" w:w="1728"/>
          </w:tcPr>
          <w:p>
            <w:r>
              <w:rPr/>
              <w:t>24.7g</w:t>
            </w:r>
          </w:p>
        </w:tc>
        <w:tc>
          <w:tcPr>
            <w:tcW w:type="dxa" w:w="1728"/>
          </w:tcPr>
          <w:p>
            <w:r>
              <w:rPr/>
              <w:t>Training module</w:t>
            </w:r>
          </w:p>
        </w:tc>
        <w:tc>
          <w:tcPr>
            <w:tcW w:type="dxa" w:w="1728"/>
          </w:tcPr>
          <w:p>
            <w:r>
              <w:rPr/>
              <w:t>IGM and Head of Digital Services</w:t>
            </w:r>
          </w:p>
        </w:tc>
        <w:tc>
          <w:tcPr>
            <w:tcW w:type="dxa" w:w="1728"/>
          </w:tcPr>
          <w:p>
            <w:r>
              <w:rPr/>
              <w:t>5 Feb 1053</w:t>
            </w:r>
          </w:p>
        </w:tc>
        <w:tc>
          <w:tcPr>
            <w:tcW w:type="dxa" w:w="1728"/>
          </w:tcPr>
          <w:p>
            <w:r>
              <w:rPr/>
              <w:t>Open</w:t>
            </w:r>
          </w:p>
        </w:tc>
      </w:tr>
      <w:tr>
        <w:tc>
          <w:tcPr>
            <w:tcW w:type="dxa" w:w="1728"/>
          </w:tcPr>
          <w:p>
            <w:r>
              <w:rPr/>
              <w:t>24.7h</w:t>
            </w:r>
          </w:p>
        </w:tc>
        <w:tc>
          <w:tcPr>
            <w:tcW w:type="dxa" w:w="1728"/>
          </w:tcPr>
          <w:p>
            <w:r>
              <w:rPr/>
              <w:t>Dissenting note for February papers</w:t>
            </w:r>
          </w:p>
        </w:tc>
        <w:tc>
          <w:tcPr>
            <w:tcW w:type="dxa" w:w="1728"/>
          </w:tcPr>
          <w:p>
            <w:r>
              <w:rPr/>
              <w:t>Dr Dourstone</w:t>
            </w:r>
          </w:p>
        </w:tc>
        <w:tc>
          <w:tcPr>
            <w:tcW w:type="dxa" w:w="1728"/>
          </w:tcPr>
          <w:p>
            <w:r>
              <w:rPr/>
              <w:t>20 Jan 1053</w:t>
            </w:r>
          </w:p>
        </w:tc>
        <w:tc>
          <w:tcPr>
            <w:tcW w:type="dxa" w:w="1728"/>
          </w:tcPr>
          <w:p>
            <w:r>
              <w:rPr/>
              <w:t>Open</w:t>
            </w:r>
          </w:p>
        </w:tc>
      </w:tr>
    </w:tbl>
    <w:p>
      <w:r>
        <w:rPr/>
        <w:t>Secretary: G. Bannerstone Draft to Chair: 9 December 1052. Circulated: 12 December 1052. Approved: 5 February 1053 (minute 25.3).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minutes 4 December 1052</dc:title>
  <dc:subject/>
  <dc:creator>Gudrik Bannerstone</dc:creator>
  <cp:keywords/>
  <dc:description>generated by python-docx</dc:description>
  <cp:lastModifiedBy>Gudrik Bannerstone</cp:lastModifiedBy>
  <cp:revision>1</cp:revision>
  <dcterms:created xsi:type="dcterms:W3CDTF">2025-12-09T10:30:00Z</dcterms:created>
  <dcterms:modified xsi:type="dcterms:W3CDTF">2026-02-05T10:30:00Z</dcterms:modified>
  <cp:category>Internal</cp:category>
</cp:coreProperties>
</file>