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External Examiner's Annual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/>
              <w:t>Institution</w:t>
            </w:r>
          </w:p>
        </w:tc>
        <w:tc>
          <w:tcPr>
            <w:tcW w:type="dxa" w:w="4320"/>
          </w:tcPr>
          <w:p>
            <w:r>
              <w:rPr/>
              <w:t>Stonegrove University</w:t>
            </w:r>
          </w:p>
        </w:tc>
      </w:tr>
      <w:tr>
        <w:tc>
          <w:tcPr>
            <w:tcW w:type="dxa" w:w="4320"/>
          </w:tcPr>
          <w:p>
            <w:r>
              <w:rPr/>
              <w:t>Programme</w:t>
            </w:r>
          </w:p>
        </w:tc>
        <w:tc>
          <w:tcPr>
            <w:tcW w:type="dxa" w:w="4320"/>
          </w:tcPr>
          <w:p>
            <w:r>
              <w:rPr/>
              <w:t>BSc (Hons) Occupational Therapy</w:t>
            </w:r>
          </w:p>
        </w:tc>
      </w:tr>
      <w:tr>
        <w:tc>
          <w:tcPr>
            <w:tcW w:type="dxa" w:w="4320"/>
          </w:tcPr>
          <w:p>
            <w:r>
              <w:rPr/>
              <w:t>External examiner</w:t>
            </w:r>
          </w:p>
        </w:tc>
        <w:tc>
          <w:tcPr>
            <w:tcW w:type="dxa" w:w="4320"/>
          </w:tcPr>
          <w:p>
            <w:r>
              <w:rPr/>
              <w:t>Dr Marenel Boughwitness, Elder Grove University</w:t>
            </w:r>
          </w:p>
        </w:tc>
      </w:tr>
      <w:tr>
        <w:tc>
          <w:tcPr>
            <w:tcW w:type="dxa" w:w="4320"/>
          </w:tcPr>
          <w:p>
            <w:r>
              <w:rPr/>
              <w:t>Academic year</w:t>
            </w:r>
          </w:p>
        </w:tc>
        <w:tc>
          <w:tcPr>
            <w:tcW w:type="dxa" w:w="4320"/>
          </w:tcPr>
          <w:p>
            <w:r>
              <w:rPr/>
              <w:t>1050-51</w:t>
            </w:r>
          </w:p>
        </w:tc>
      </w:tr>
      <w:tr>
        <w:tc>
          <w:tcPr>
            <w:tcW w:type="dxa" w:w="4320"/>
          </w:tcPr>
          <w:p>
            <w:r>
              <w:rPr/>
              <w:t>Year of tenure</w:t>
            </w:r>
          </w:p>
        </w:tc>
        <w:tc>
          <w:tcPr>
            <w:tcW w:type="dxa" w:w="4320"/>
          </w:tcPr>
          <w:p>
            <w:r>
              <w:rPr/>
              <w:t>2 of 4</w:t>
            </w:r>
          </w:p>
        </w:tc>
      </w:tr>
      <w:tr>
        <w:tc>
          <w:tcPr>
            <w:tcW w:type="dxa" w:w="4320"/>
          </w:tcPr>
          <w:p>
            <w:r>
              <w:rPr/>
              <w:t>Date</w:t>
            </w:r>
          </w:p>
        </w:tc>
        <w:tc>
          <w:tcPr>
            <w:tcW w:type="dxa" w:w="4320"/>
          </w:tcPr>
          <w:p>
            <w:r>
              <w:rPr/>
              <w:t>25 July 1051</w:t>
            </w:r>
          </w:p>
        </w:tc>
      </w:tr>
    </w:tbl>
    <w:p>
      <w:pPr>
        <w:pStyle w:val="Heading2"/>
      </w:pPr>
      <w:r>
        <w:t>1. Standards</w:t>
      </w:r>
    </w:p>
    <w:p>
      <w:r>
        <w:rPr/>
        <w:t>Appropriate and comparable. No change from last year.</w:t>
      </w:r>
    </w:p>
    <w:p>
      <w:pPr>
        <w:pStyle w:val="Heading2"/>
      </w:pPr>
      <w:r>
        <w:t>2. Student performance</w:t>
      </w:r>
    </w:p>
    <w:p>
      <w:r>
        <w:rPr/>
        <w:t>Good overall. I was pleased to see a stronger cohort of dissertations than last year. Placement portfolios remain a strength.</w:t>
      </w:r>
    </w:p>
    <w:p>
      <w:pPr>
        <w:pStyle w:val="Heading2"/>
      </w:pPr>
      <w:r>
        <w:t>3. Assessment and marking</w:t>
      </w:r>
    </w:p>
    <w:p>
      <w:r>
        <w:rPr/>
        <w:t>Accurate and well moderated. I agreed with all marks in my sample of forty-two.</w:t>
      </w:r>
    </w:p>
    <w:p>
      <w:pPr>
        <w:pStyle w:val="Heading2"/>
      </w:pPr>
      <w:r>
        <w:t>4. Matters for the programme team's attention</w:t>
      </w:r>
    </w:p>
    <w:p>
      <w:r>
        <w:rPr/>
        <w:t>I note once again that Year 2 carries twelve summative assessment points. The programme team's response to my report last year stated that the matter was "noted and under review". I would be grateful to know what the review concluded, since the assessment pattern in the Year 2 module descriptors I received this year is unchanged. The students' own comments on the matter are, if anything, more pointed than last year. I would ask the team to treat this as a recommendation rather than an observation.</w:t>
      </w:r>
    </w:p>
    <w:p>
      <w:r>
        <w:rPr/>
        <w:t>I also note a small inconsistency in the marking of one Year 2 module, where one marker's marks sit consistently a few points below the moderated marks. This has been addressed in moderation and I raise it only so that the team can keep an eye on it.</w:t>
      </w:r>
    </w:p>
    <w:p>
      <w:pPr>
        <w:pStyle w:val="Heading2"/>
      </w:pPr>
      <w:r>
        <w:t>5. Examination Board</w:t>
      </w:r>
    </w:p>
    <w:p>
      <w:r>
        <w:rPr/>
        <w:t>Well conducted.</w:t>
      </w:r>
    </w:p>
    <w:p>
      <w:pPr>
        <w:pStyle w:val="Heading2"/>
      </w:pPr>
      <w:r>
        <w:t>6. Response</w:t>
      </w:r>
    </w:p>
    <w:p>
      <w:r>
        <w:rPr/>
        <w:t>I look forward to the programme team's response to section 4.</w:t>
      </w:r>
    </w:p>
    <w:p>
      <w:r>
        <w:rPr/>
        <w:t>M. Boughwitness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External examiner report Occupational Therapy 1051</dc:title>
  <dc:subject/>
  <dc:creator>Marenel Boughwitness</dc:creator>
  <cp:keywords/>
  <dc:description>generated by python-docx</dc:description>
  <cp:lastModifiedBy>Ollir Greenquill</cp:lastModifiedBy>
  <cp:revision>1</cp:revision>
  <dcterms:created xsi:type="dcterms:W3CDTF">2024-07-18T10:30:00Z</dcterms:created>
  <dcterms:modified xsi:type="dcterms:W3CDTF">2024-07-25T10:30:00Z</dcterms:modified>
  <cp:category>Internal</cp:category>
</cp:coreProperties>
</file>