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sz w:val="36"/>
        </w:rPr>
        <w:t>“浙超”分组方案、抽签机制、赛点选择与赛制优化的一体化研究</w:t>
      </w:r>
    </w:p>
    <w:p>
      <w:pPr>
        <w:spacing w:line="360" w:lineRule="auto"/>
        <w:ind w:firstLine="420"/>
        <w:jc w:val="center"/>
      </w:pPr>
      <w:r>
        <w:rPr>
          <w:rFonts w:ascii="Times New Roman" w:hAnsi="Times New Roman" w:eastAsia="宋体"/>
          <w:sz w:val="22"/>
        </w:rPr>
        <w:t>此页用于替换为学校统一封面。</w:t>
      </w:r>
    </w:p>
    <w:p>
      <w:pPr>
        <w:sectPr>
          <w:footerReference w:type="default" r:id="rId9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黑体"/>
          <w:sz w:val="28"/>
        </w:rPr>
        <w:t>摘要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2"/>
        </w:rPr>
        <w:t>针对“浙超”联赛 64 支队伍的小组分组、抽签公平性、比赛地点选择及赛制优化问题，本文构建了一套“分组生成—公平抽签—赛点配置—赛制优化”的一体化决策模型。对于问题 1，本文将题目要求拆解为硬约束与软约束，建立 16 个小组、每组 4 支队伍的组合优化模型，并设计随机启发式算法，在 500 次搜索中得到 450 个可行方案。最优方案的同市县级队同组冲突对数为 0，平均城市来源熵为 2.0000，各组总实力标准差为 6.2099。对于问题 2，本文提出分阶段等概率抽签流程，并通过 10000 次蒙特卡洛模拟进行公平性检验；结果表明平均卡方检验 p 值为 0.5418，无队伍出现显著偏差。对于问题 3，本文建立熵权多目标离散设施选址模型，推荐三门县、诸暨市、仙居县、丽水市、义乌市、东阳市、磐安县和金华市 8 个赛点，平均分配距离为 127.83 km，最大距离为 214.82 km。对于问题 4，本文利用熵权合成的实力代理值与带疲劳项的比赛仿真模型，对 7 类赛制进行了 20000 次蒙特卡洛比较。结果显示，seeded_reseeded 方案在优先级加权 TOPSIS 下得分最高，为 0.822888。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2"/>
        </w:rPr>
        <w:t>关键词：分组优化；公平抽签；设施选址；蒙特卡洛模拟；熵权法；TOPSIS</w:t>
      </w:r>
    </w:p>
    <w:p>
      <w:pPr>
        <w:sectPr>
          <w:pgSz w:w="12240" w:h="15840"/>
          <w:pgMar w:top="1417" w:right="1417" w:bottom="1417" w:left="1417" w:header="720" w:footer="720" w:gutter="0"/>
          <w:cols w:space="720"/>
          <w:docGrid w:linePitch="360"/>
          <w:pgNumType w:start="1"/>
        </w:sectPr>
      </w:pPr>
    </w:p>
    <w:p>
      <w:pPr>
        <w:pStyle w:val="Heading1"/>
      </w:pPr>
      <w:r>
        <w:rPr>
          <w:rFonts w:ascii="Times New Roman" w:hAnsi="Times New Roman" w:eastAsia="黑体"/>
          <w:sz w:val="28"/>
        </w:rPr>
        <w:t>1 问题重述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2"/>
        </w:rPr>
        <w:t>“浙超”联赛共有 64 支队伍参赛，其中包括 11 支市级队、20 支县级市队和 33 支县队。比赛分为两个阶段：第一阶段为 16 个小组、每组 4 队的单循环小组赛，小组前两名晋级；第二阶段为 32 强淘汰赛，经过 5 轮决出冠军。本文按“分组—抽签—赛点—赛制”的链式结构统一求解。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2 模型假设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64 支队伍全部按题意参赛，不考虑中途退赛。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行政隶属关系固定，市级队与其代管县级队的回避关系不发生变化。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当缺乏完整历史战绩时，用地区综合指标构造球队实力代理值。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抽签设备与程序在技术上等概率执行，不存在人为操控。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比赛出行成本主要由地理距离和交通可达性刻画。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3 问题 1：分组方案生成与评价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2"/>
        </w:rPr>
        <w:t>本文采用“市级队先随机落位、县级队按约束紧度逐步放置”的随机启发式算法。程序共搜索 500 次，得到 450 个可行方案。最优方案不仅完全满足全部硬约束，而且在县级队分散性和小组实力均衡性方面表现良好。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指标</w:t>
            </w:r>
          </w:p>
        </w:tc>
        <w:tc>
          <w:tcPr>
            <w:tcW w:type="dxa" w:w="4703"/>
          </w:tcPr>
          <w:p>
            <w:r>
              <w:t>数值</w:t>
            </w:r>
          </w:p>
        </w:tc>
      </w:tr>
      <w:tr>
        <w:tc>
          <w:tcPr>
            <w:tcW w:type="dxa" w:w="4703"/>
          </w:tcPr>
          <w:p>
            <w:r>
              <w:t>可行方案数</w:t>
            </w:r>
          </w:p>
        </w:tc>
        <w:tc>
          <w:tcPr>
            <w:tcW w:type="dxa" w:w="4703"/>
          </w:tcPr>
          <w:p>
            <w:r>
              <w:t>450</w:t>
            </w:r>
          </w:p>
        </w:tc>
      </w:tr>
      <w:tr>
        <w:tc>
          <w:tcPr>
            <w:tcW w:type="dxa" w:w="4703"/>
          </w:tcPr>
          <w:p>
            <w:r>
              <w:t>同市县级队同组冲突对数</w:t>
            </w:r>
          </w:p>
        </w:tc>
        <w:tc>
          <w:tcPr>
            <w:tcW w:type="dxa" w:w="4703"/>
          </w:tcPr>
          <w:p>
            <w:r>
              <w:t>0.0</w:t>
            </w:r>
          </w:p>
        </w:tc>
      </w:tr>
      <w:tr>
        <w:tc>
          <w:tcPr>
            <w:tcW w:type="dxa" w:w="4703"/>
          </w:tcPr>
          <w:p>
            <w:r>
              <w:t>平均城市熵</w:t>
            </w:r>
          </w:p>
        </w:tc>
        <w:tc>
          <w:tcPr>
            <w:tcW w:type="dxa" w:w="4703"/>
          </w:tcPr>
          <w:p>
            <w:r>
              <w:t>2.0000</w:t>
            </w:r>
          </w:p>
        </w:tc>
      </w:tr>
      <w:tr>
        <w:tc>
          <w:tcPr>
            <w:tcW w:type="dxa" w:w="4703"/>
          </w:tcPr>
          <w:p>
            <w:r>
              <w:t>各组总实力标准差</w:t>
            </w:r>
          </w:p>
        </w:tc>
        <w:tc>
          <w:tcPr>
            <w:tcW w:type="dxa" w:w="4703"/>
          </w:tcPr>
          <w:p>
            <w:r>
              <w:t>6.2099</w:t>
            </w:r>
          </w:p>
        </w:tc>
      </w:tr>
      <w:tr>
        <w:tc>
          <w:tcPr>
            <w:tcW w:type="dxa" w:w="4703"/>
          </w:tcPr>
          <w:p>
            <w:r>
              <w:t>综合得分</w:t>
            </w:r>
          </w:p>
        </w:tc>
        <w:tc>
          <w:tcPr>
            <w:tcW w:type="dxa" w:w="4703"/>
          </w:tcPr>
          <w:p>
            <w:r>
              <w:t>187.5803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sz w:val="28"/>
        </w:rPr>
        <w:t>4 问题 2：公平抽签方案设计与验证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2"/>
        </w:rPr>
        <w:t>本文采用“市级队先抽、县级队后抽”的分阶段流程。市级队首先随机进入 16 个小组中的 11 个不同小组；县级队随后在实时更新的合法小组集合中等概率抽签。通过 10000 次蒙特卡洛模拟，64 支队伍的平均 p 值为 0.5418，无队伍出现 p&lt;0.01 的显著偏差。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ness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 1 抽签公平性统计图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0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 2 单次抽签示例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5 问题 3：比赛地点选择模型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2"/>
        </w:rPr>
        <w:t>本文利用 64 个参赛地区的人口、GDP、交通、体育基础、铁路可达性、机场可达性及代表性场馆容量等信息，构建赛事影响力指标与承办能力指标，并建立多目标离散设施选址模型。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赛点</w:t>
            </w:r>
          </w:p>
        </w:tc>
        <w:tc>
          <w:tcPr>
            <w:tcW w:type="dxa" w:w="2351"/>
          </w:tcPr>
          <w:p>
            <w:r>
              <w:t>承办小组</w:t>
            </w:r>
          </w:p>
        </w:tc>
        <w:tc>
          <w:tcPr>
            <w:tcW w:type="dxa" w:w="2351"/>
          </w:tcPr>
          <w:p>
            <w:r>
              <w:t>平均距离/km</w:t>
            </w:r>
          </w:p>
        </w:tc>
        <w:tc>
          <w:tcPr>
            <w:tcW w:type="dxa" w:w="2351"/>
          </w:tcPr>
          <w:p>
            <w:r>
              <w:t>最大距离/km</w:t>
            </w:r>
          </w:p>
        </w:tc>
      </w:tr>
      <w:tr>
        <w:tc>
          <w:tcPr>
            <w:tcW w:type="dxa" w:w="2351"/>
          </w:tcPr>
          <w:p>
            <w:r>
              <w:t>三门县</w:t>
            </w:r>
          </w:p>
        </w:tc>
        <w:tc>
          <w:tcPr>
            <w:tcW w:type="dxa" w:w="2351"/>
          </w:tcPr>
          <w:p>
            <w:r>
              <w:t>G01+G02</w:t>
            </w:r>
          </w:p>
        </w:tc>
        <w:tc>
          <w:tcPr>
            <w:tcW w:type="dxa" w:w="2351"/>
          </w:tcPr>
          <w:p>
            <w:r>
              <w:t>163.65</w:t>
            </w:r>
          </w:p>
        </w:tc>
        <w:tc>
          <w:tcPr>
            <w:tcW w:type="dxa" w:w="2351"/>
          </w:tcPr>
          <w:p>
            <w:r>
              <w:t>209.14</w:t>
            </w:r>
          </w:p>
        </w:tc>
      </w:tr>
      <w:tr>
        <w:tc>
          <w:tcPr>
            <w:tcW w:type="dxa" w:w="2351"/>
          </w:tcPr>
          <w:p>
            <w:r>
              <w:t>诸暨市</w:t>
            </w:r>
          </w:p>
        </w:tc>
        <w:tc>
          <w:tcPr>
            <w:tcW w:type="dxa" w:w="2351"/>
          </w:tcPr>
          <w:p>
            <w:r>
              <w:t>G03+G12</w:t>
            </w:r>
          </w:p>
        </w:tc>
        <w:tc>
          <w:tcPr>
            <w:tcW w:type="dxa" w:w="2351"/>
          </w:tcPr>
          <w:p>
            <w:r>
              <w:t>120.81</w:t>
            </w:r>
          </w:p>
        </w:tc>
        <w:tc>
          <w:tcPr>
            <w:tcW w:type="dxa" w:w="2351"/>
          </w:tcPr>
          <w:p>
            <w:r>
              <w:t>157.00</w:t>
            </w:r>
          </w:p>
        </w:tc>
      </w:tr>
      <w:tr>
        <w:tc>
          <w:tcPr>
            <w:tcW w:type="dxa" w:w="2351"/>
          </w:tcPr>
          <w:p>
            <w:r>
              <w:t>仙居县</w:t>
            </w:r>
          </w:p>
        </w:tc>
        <w:tc>
          <w:tcPr>
            <w:tcW w:type="dxa" w:w="2351"/>
          </w:tcPr>
          <w:p>
            <w:r>
              <w:t>G04+G09</w:t>
            </w:r>
          </w:p>
        </w:tc>
        <w:tc>
          <w:tcPr>
            <w:tcW w:type="dxa" w:w="2351"/>
          </w:tcPr>
          <w:p>
            <w:r>
              <w:t>94.14</w:t>
            </w:r>
          </w:p>
        </w:tc>
        <w:tc>
          <w:tcPr>
            <w:tcW w:type="dxa" w:w="2351"/>
          </w:tcPr>
          <w:p>
            <w:r>
              <w:t>145.57</w:t>
            </w:r>
          </w:p>
        </w:tc>
      </w:tr>
      <w:tr>
        <w:tc>
          <w:tcPr>
            <w:tcW w:type="dxa" w:w="2351"/>
          </w:tcPr>
          <w:p>
            <w:r>
              <w:t>丽水市</w:t>
            </w:r>
          </w:p>
        </w:tc>
        <w:tc>
          <w:tcPr>
            <w:tcW w:type="dxa" w:w="2351"/>
          </w:tcPr>
          <w:p>
            <w:r>
              <w:t>G05+G15</w:t>
            </w:r>
          </w:p>
        </w:tc>
        <w:tc>
          <w:tcPr>
            <w:tcW w:type="dxa" w:w="2351"/>
          </w:tcPr>
          <w:p>
            <w:r>
              <w:t>105.25</w:t>
            </w:r>
          </w:p>
        </w:tc>
        <w:tc>
          <w:tcPr>
            <w:tcW w:type="dxa" w:w="2351"/>
          </w:tcPr>
          <w:p>
            <w:r>
              <w:t>153.06</w:t>
            </w:r>
          </w:p>
        </w:tc>
      </w:tr>
      <w:tr>
        <w:tc>
          <w:tcPr>
            <w:tcW w:type="dxa" w:w="2351"/>
          </w:tcPr>
          <w:p>
            <w:r>
              <w:t>义乌市</w:t>
            </w:r>
          </w:p>
        </w:tc>
        <w:tc>
          <w:tcPr>
            <w:tcW w:type="dxa" w:w="2351"/>
          </w:tcPr>
          <w:p>
            <w:r>
              <w:t>G06+G14</w:t>
            </w:r>
          </w:p>
        </w:tc>
        <w:tc>
          <w:tcPr>
            <w:tcW w:type="dxa" w:w="2351"/>
          </w:tcPr>
          <w:p>
            <w:r>
              <w:t>136.61</w:t>
            </w:r>
          </w:p>
        </w:tc>
        <w:tc>
          <w:tcPr>
            <w:tcW w:type="dxa" w:w="2351"/>
          </w:tcPr>
          <w:p>
            <w:r>
              <w:t>176.51</w:t>
            </w:r>
          </w:p>
        </w:tc>
      </w:tr>
      <w:tr>
        <w:tc>
          <w:tcPr>
            <w:tcW w:type="dxa" w:w="2351"/>
          </w:tcPr>
          <w:p>
            <w:r>
              <w:t>东阳市</w:t>
            </w:r>
          </w:p>
        </w:tc>
        <w:tc>
          <w:tcPr>
            <w:tcW w:type="dxa" w:w="2351"/>
          </w:tcPr>
          <w:p>
            <w:r>
              <w:t>G07+G10</w:t>
            </w:r>
          </w:p>
        </w:tc>
        <w:tc>
          <w:tcPr>
            <w:tcW w:type="dxa" w:w="2351"/>
          </w:tcPr>
          <w:p>
            <w:r>
              <w:t>106.19</w:t>
            </w:r>
          </w:p>
        </w:tc>
        <w:tc>
          <w:tcPr>
            <w:tcW w:type="dxa" w:w="2351"/>
          </w:tcPr>
          <w:p>
            <w:r>
              <w:t>150.84</w:t>
            </w:r>
          </w:p>
        </w:tc>
      </w:tr>
      <w:tr>
        <w:tc>
          <w:tcPr>
            <w:tcW w:type="dxa" w:w="2351"/>
          </w:tcPr>
          <w:p>
            <w:r>
              <w:t>磐安县</w:t>
            </w:r>
          </w:p>
        </w:tc>
        <w:tc>
          <w:tcPr>
            <w:tcW w:type="dxa" w:w="2351"/>
          </w:tcPr>
          <w:p>
            <w:r>
              <w:t>G08+G11</w:t>
            </w:r>
          </w:p>
        </w:tc>
        <w:tc>
          <w:tcPr>
            <w:tcW w:type="dxa" w:w="2351"/>
          </w:tcPr>
          <w:p>
            <w:r>
              <w:t>162.17</w:t>
            </w:r>
          </w:p>
        </w:tc>
        <w:tc>
          <w:tcPr>
            <w:tcW w:type="dxa" w:w="2351"/>
          </w:tcPr>
          <w:p>
            <w:r>
              <w:t>214.82</w:t>
            </w:r>
          </w:p>
        </w:tc>
      </w:tr>
      <w:tr>
        <w:tc>
          <w:tcPr>
            <w:tcW w:type="dxa" w:w="2351"/>
          </w:tcPr>
          <w:p>
            <w:r>
              <w:t>金华市</w:t>
            </w:r>
          </w:p>
        </w:tc>
        <w:tc>
          <w:tcPr>
            <w:tcW w:type="dxa" w:w="2351"/>
          </w:tcPr>
          <w:p>
            <w:r>
              <w:t>G13+G16</w:t>
            </w:r>
          </w:p>
        </w:tc>
        <w:tc>
          <w:tcPr>
            <w:tcW w:type="dxa" w:w="2351"/>
          </w:tcPr>
          <w:p>
            <w:r>
              <w:t>133.80</w:t>
            </w:r>
          </w:p>
        </w:tc>
        <w:tc>
          <w:tcPr>
            <w:tcW w:type="dxa" w:w="2351"/>
          </w:tcPr>
          <w:p>
            <w:r>
              <w:t>181.39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4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typhoon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 3 赛点方案对极端天气权重的敏感性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6 问题 4：赛制优化模型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2"/>
        </w:rPr>
        <w:t>本文基于熵权法合成的实力代理值和带疲劳项的比赛仿真模型，对 7 类候选赛制进行比较。结果显示，seeded_reseeded 方案在综合评价中最优。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赛制</w:t>
            </w:r>
          </w:p>
        </w:tc>
        <w:tc>
          <w:tcPr>
            <w:tcW w:type="dxa" w:w="2351"/>
          </w:tcPr>
          <w:p>
            <w:r>
              <w:t>前8进八强率</w:t>
            </w:r>
          </w:p>
        </w:tc>
        <w:tc>
          <w:tcPr>
            <w:tcW w:type="dxa" w:w="2351"/>
          </w:tcPr>
          <w:p>
            <w:r>
              <w:t>前4首轮出局率</w:t>
            </w:r>
          </w:p>
        </w:tc>
        <w:tc>
          <w:tcPr>
            <w:tcW w:type="dxa" w:w="2351"/>
          </w:tcPr>
          <w:p>
            <w:r>
              <w:t>TOPSIS</w:t>
            </w:r>
          </w:p>
        </w:tc>
      </w:tr>
      <w:tr>
        <w:tc>
          <w:tcPr>
            <w:tcW w:type="dxa" w:w="2351"/>
          </w:tcPr>
          <w:p>
            <w:r>
              <w:t>current_random_draw</w:t>
            </w:r>
          </w:p>
        </w:tc>
        <w:tc>
          <w:tcPr>
            <w:tcW w:type="dxa" w:w="2351"/>
          </w:tcPr>
          <w:p>
            <w:r>
              <w:t>0.3817</w:t>
            </w:r>
          </w:p>
        </w:tc>
        <w:tc>
          <w:tcPr>
            <w:tcW w:type="dxa" w:w="2351"/>
          </w:tcPr>
          <w:p>
            <w:r>
              <w:t>0.2831</w:t>
            </w:r>
          </w:p>
        </w:tc>
        <w:tc>
          <w:tcPr>
            <w:tcW w:type="dxa" w:w="2351"/>
          </w:tcPr>
          <w:p>
            <w:r>
              <w:t>0.258954</w:t>
            </w:r>
          </w:p>
        </w:tc>
      </w:tr>
      <w:tr>
        <w:tc>
          <w:tcPr>
            <w:tcW w:type="dxa" w:w="2351"/>
          </w:tcPr>
          <w:p>
            <w:r>
              <w:t>group_rank_seeded</w:t>
            </w:r>
          </w:p>
        </w:tc>
        <w:tc>
          <w:tcPr>
            <w:tcW w:type="dxa" w:w="2351"/>
          </w:tcPr>
          <w:p>
            <w:r>
              <w:t>0.3894</w:t>
            </w:r>
          </w:p>
        </w:tc>
        <w:tc>
          <w:tcPr>
            <w:tcW w:type="dxa" w:w="2351"/>
          </w:tcPr>
          <w:p>
            <w:r>
              <w:t>0.2575</w:t>
            </w:r>
          </w:p>
        </w:tc>
        <w:tc>
          <w:tcPr>
            <w:tcW w:type="dxa" w:w="2351"/>
          </w:tcPr>
          <w:p>
            <w:r>
              <w:t>0.662609</w:t>
            </w:r>
          </w:p>
        </w:tc>
      </w:tr>
      <w:tr>
        <w:tc>
          <w:tcPr>
            <w:tcW w:type="dxa" w:w="2351"/>
          </w:tcPr>
          <w:p>
            <w:r>
              <w:t>seeded_reseeded</w:t>
            </w:r>
          </w:p>
        </w:tc>
        <w:tc>
          <w:tcPr>
            <w:tcW w:type="dxa" w:w="2351"/>
          </w:tcPr>
          <w:p>
            <w:r>
              <w:t>0.3968</w:t>
            </w:r>
          </w:p>
        </w:tc>
        <w:tc>
          <w:tcPr>
            <w:tcW w:type="dxa" w:w="2351"/>
          </w:tcPr>
          <w:p>
            <w:r>
              <w:t>0.2551</w:t>
            </w:r>
          </w:p>
        </w:tc>
        <w:tc>
          <w:tcPr>
            <w:tcW w:type="dxa" w:w="2351"/>
          </w:tcPr>
          <w:p>
            <w:r>
              <w:t>0.822888</w:t>
            </w:r>
          </w:p>
        </w:tc>
      </w:tr>
      <w:tr>
        <w:tc>
          <w:tcPr>
            <w:tcW w:type="dxa" w:w="2351"/>
          </w:tcPr>
          <w:p>
            <w:r>
              <w:t>seeded_reseeded_rest</w:t>
            </w:r>
          </w:p>
        </w:tc>
        <w:tc>
          <w:tcPr>
            <w:tcW w:type="dxa" w:w="2351"/>
          </w:tcPr>
          <w:p>
            <w:r>
              <w:t>0.3931</w:t>
            </w:r>
          </w:p>
        </w:tc>
        <w:tc>
          <w:tcPr>
            <w:tcW w:type="dxa" w:w="2351"/>
          </w:tcPr>
          <w:p>
            <w:r>
              <w:t>0.2591</w:t>
            </w:r>
          </w:p>
        </w:tc>
        <w:tc>
          <w:tcPr>
            <w:tcW w:type="dxa" w:w="2351"/>
          </w:tcPr>
          <w:p>
            <w:r>
              <w:t>0.706284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7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orma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 4 各候选赛制的综合比较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7 结论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得到了满足全部硬约束且软约束冲突为 0 的优良分组方案。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抽签机制在统计意义上公平透明。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推荐了 8 个兼顾便利与赛事影响力的比赛地点。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推荐采用“小组第一对小组第二 + 后续复排”的 seeded_reseeded 赛制。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附录 A AI 工具使用说明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工具名称：OpenAI Codex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模型：GPT-5 系列编码代理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开发机构：OpenAI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使用日期：2026 年 5 月 14 日至 2026 年 5 月 17 日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2"/>
        </w:rPr>
        <w:t>用途：论文结构梳理、结果文字转写、图表说明和文档排版辅助。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