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b/>
          <w:bCs/>
          <w:kern w:val="0"/>
          <w:sz w:val="22"/>
          <w:lang w:val="zh-TW"/>
        </w:rPr>
        <w:t>Mobilenet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顧名思義為應用於手機，嵌入式設備而設計的模型，主要克服應用場景為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low latency, speed fast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目標。在傳統的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CNN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中，根據</w:t>
      </w:r>
      <w:r>
        <w:rPr>
          <w:rFonts w:hint="eastAsia" w:ascii="微軟正黑體" w:hAnsi="微軟正黑體" w:eastAsia="微軟正黑體" w:cs="新細明體"/>
          <w:kern w:val="0"/>
          <w:sz w:val="22"/>
          <w:u w:val="single"/>
          <w:lang w:val="zh-TW"/>
        </w:rPr>
        <w:t>模型深度越多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  <w:r>
        <w:rPr>
          <w:rFonts w:hint="eastAsia" w:ascii="微軟正黑體" w:hAnsi="微軟正黑體" w:eastAsia="微軟正黑體" w:cs="新細明體"/>
          <w:kern w:val="0"/>
          <w:sz w:val="22"/>
          <w:u w:val="single"/>
          <w:lang w:val="zh-TW"/>
        </w:rPr>
        <w:t>複雜度也越高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  <w:r>
        <w:rPr>
          <w:rFonts w:hint="eastAsia" w:ascii="微軟正黑體" w:hAnsi="微軟正黑體" w:eastAsia="微軟正黑體" w:cs="新細明體"/>
          <w:kern w:val="0"/>
          <w:sz w:val="22"/>
          <w:u w:val="single"/>
          <w:lang w:val="zh-TW"/>
        </w:rPr>
        <w:t>參數也隨之增加，而面臨內存不足問題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mobilenet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就是為了解決此問題以減少參數而不影響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accuracy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之下，提出</w:t>
      </w:r>
      <w:r>
        <w:rPr>
          <w:rFonts w:ascii="微軟正黑體" w:hAnsi="微軟正黑體" w:eastAsia="微軟正黑體" w:cs="新細明體"/>
          <w:b/>
          <w:color w:val="FF0000"/>
          <w:kern w:val="0"/>
          <w:sz w:val="22"/>
          <w:lang w:val="zh-TW"/>
        </w:rPr>
        <w:t xml:space="preserve"> depthwise separable convolution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深度可分離卷積，包含</w:t>
      </w:r>
      <w:r>
        <w:rPr>
          <w:rFonts w:ascii="微軟正黑體" w:hAnsi="微軟正黑體" w:eastAsia="微軟正黑體" w:cs="新細明體"/>
          <w:color w:val="FF0000"/>
          <w:kern w:val="0"/>
          <w:sz w:val="22"/>
          <w:lang w:val="zh-TW"/>
        </w:rPr>
        <w:t>depthwise 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以及</w:t>
      </w:r>
      <w:r>
        <w:rPr>
          <w:rFonts w:ascii="微軟正黑體" w:hAnsi="微軟正黑體" w:eastAsia="微軟正黑體" w:cs="新細明體"/>
          <w:color w:val="FF0000"/>
          <w:kern w:val="0"/>
          <w:sz w:val="22"/>
          <w:lang w:val="zh-TW"/>
        </w:rPr>
        <w:t>pointwise 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兩個計算理念，通常大部分模型架構由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convolution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fully connect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組成，而</w:t>
      </w:r>
      <w:r>
        <w:rPr>
          <w:rFonts w:ascii="微軟正黑體" w:hAnsi="微軟正黑體" w:eastAsia="微軟正黑體" w:cs="????"/>
          <w:kern w:val="0"/>
          <w:sz w:val="22"/>
        </w:rPr>
        <w:t>Global average pooling(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對每個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feature map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取全局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average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，輸出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node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與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class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類別</w:t>
      </w:r>
      <w:r>
        <w:rPr>
          <w:rFonts w:ascii="微軟正黑體" w:hAnsi="微軟正黑體" w:eastAsia="微軟正黑體" w:cs="????"/>
          <w:kern w:val="0"/>
          <w:sz w:val="22"/>
        </w:rPr>
        <w:t>)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取代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FC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，目的為減少參數、避免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overfitting(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沒有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params) 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首先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depthwise convolution: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將卷積核拆分為單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形式，對每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進行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，因此輸入和輸出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不變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結合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pointwise 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，將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input 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融合，對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feature map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進行升維或是降維，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標準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計算量為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filter_wight*filter_height*channel*filter_count*feature_map_width*feature_map_height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，經過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 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與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pointwise convolution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後計算量為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filter_width*filter_height*channel*feature_map_width*feature_map_height + 1*1*channel*filter_count*feature_map_width*feature_map_height =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相比於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mobilenet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只有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1/N(filter_count) + 1/(filter_width*filter_height) =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通常使用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3x3 filter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約計算量下降到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1/9- 1/8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模型架構部分是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3x3 depthwise conv. -&gt; BN -&gt; ReLU6 -&gt; 1x1 Conv. -&gt; BN -&gt; ReLU6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kern w:val="0"/>
          <w:sz w:val="22"/>
          <w:lang w:val="zh-TW"/>
        </w:rPr>
        <w:t>ReLU6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在移動端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float16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低精度有很好的數值分辨率，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而有些在特定應用需要更小又快的模型，因此提出兩個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alpha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寬度因子控制模型大小的分辨因子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rho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alpha(width_Multiplier)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對每層網路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input output channel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進行縮減，使用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alpha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提高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1/alpha^2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rho(resolution multiplier)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控制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feature map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分辨率，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kern w:val="0"/>
          <w:sz w:val="22"/>
          <w:lang w:val="zh-TW"/>
        </w:rPr>
        <w:t>-------------------------------------------------------------------------------------------------------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b/>
          <w:bCs/>
          <w:kern w:val="0"/>
          <w:sz w:val="22"/>
          <w:lang w:val="zh-TW"/>
        </w:rPr>
        <w:t xml:space="preserve">MobilenetV2 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--- MobilenetV2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提出，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Linear Bottleneck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解決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depthwise conv.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計算過程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input 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output 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不變，因此若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input channel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很少，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只能在低維度計算，在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MobilenetV1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的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前面增加一個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pointwise conv.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升維，因此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獲得了高維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feature map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，進行特徵獲取，並且將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 conv.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後接著的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pointwise conv.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的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ReLU6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改成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Linear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，此時的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pointwise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作為降維，而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ReLU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對於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較低造成大量信息損耗，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ReLU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input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負值時，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output=0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，高維後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ReLU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信息丟失少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kern w:val="0"/>
          <w:sz w:val="22"/>
          <w:lang w:val="zh-TW"/>
        </w:rPr>
        <w:t>MobilenetV2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提出了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Inverted Residuals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倒殘差，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殘差最經典就是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ResNet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，架構以壓縮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pointwise ---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傳統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CNN ----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擴張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pointwise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架構，目的減少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3x3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計算量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倒殘差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架構以擴張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pointwise --- depthwise ----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壓縮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pointwise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，增加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channel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使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depthwise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能在高維提取特徵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使用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short cut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將進行兩者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feature map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相加，解決傳統上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CNN layers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越多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 Degradation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退化問題，使用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Identity Mapping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將前一層輸出到後一層想法，避免信息丟失或導致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gradient vanishing or explore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，訓練目的為殘差結果趨近於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0</w:t>
      </w:r>
    </w:p>
    <w:p>
      <w:pPr>
        <w:autoSpaceDE w:val="0"/>
        <w:autoSpaceDN w:val="0"/>
        <w:adjustRightInd w:val="0"/>
        <w:spacing w:line="276" w:lineRule="auto"/>
        <w:rPr>
          <w:rFonts w:ascii="微軟正黑體" w:hAnsi="微軟正黑體" w:eastAsia="微軟正黑體" w:cs="新細明體"/>
          <w:b/>
          <w:kern w:val="0"/>
          <w:sz w:val="22"/>
        </w:rPr>
      </w:pPr>
      <w:r>
        <w:rPr>
          <w:rFonts w:ascii="微軟正黑體" w:hAnsi="微軟正黑體" w:eastAsia="微軟正黑體" w:cs="新細明體"/>
          <w:b/>
          <w:kern w:val="0"/>
          <w:sz w:val="22"/>
        </w:rPr>
        <w:t xml:space="preserve">MobileNetV3 ----- 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Chars="0"/>
        <w:rPr>
          <w:rFonts w:hint="eastAsia" w:ascii="微軟正黑體" w:hAnsi="微軟正黑體" w:eastAsia="微軟正黑體" w:cs="新細明體"/>
          <w:kern w:val="0"/>
          <w:sz w:val="22"/>
        </w:rPr>
      </w:pPr>
      <w:r>
        <w:rPr>
          <w:rFonts w:ascii="微軟正黑體" w:hAnsi="微軟正黑體" w:eastAsia="微軟正黑體" w:cs="新細明體"/>
          <w:kern w:val="0"/>
          <w:sz w:val="22"/>
        </w:rPr>
        <w:t xml:space="preserve">MobileNetV1 </w:t>
      </w:r>
      <w:r>
        <w:rPr>
          <w:rFonts w:hint="eastAsia" w:ascii="微軟正黑體" w:hAnsi="微軟正黑體" w:eastAsia="微軟正黑體" w:cs="新細明體"/>
          <w:kern w:val="0"/>
          <w:sz w:val="22"/>
        </w:rPr>
        <w:t>引入 Depthwise separable convolution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Chars="0"/>
        <w:rPr>
          <w:rFonts w:hint="eastAsia" w:ascii="微軟正黑體" w:hAnsi="微軟正黑體" w:eastAsia="微軟正黑體" w:cs="新細明體"/>
          <w:kern w:val="0"/>
          <w:sz w:val="22"/>
        </w:rPr>
      </w:pPr>
      <w:r>
        <w:rPr>
          <w:rFonts w:hint="eastAsia" w:ascii="微軟正黑體" w:hAnsi="微軟正黑體" w:eastAsia="微軟正黑體" w:cs="新細明體"/>
          <w:kern w:val="0"/>
          <w:sz w:val="22"/>
        </w:rPr>
        <w:t xml:space="preserve">MobileNetV2 引入具有Linear Bottleneck and Inverted Residual 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Chars="0"/>
        <w:rPr>
          <w:rFonts w:ascii="微軟正黑體" w:hAnsi="微軟正黑體" w:eastAsia="微軟正黑體" w:cs="新細明體"/>
          <w:kern w:val="0"/>
          <w:sz w:val="22"/>
        </w:rPr>
      </w:pPr>
      <w:r>
        <w:rPr>
          <w:rFonts w:hint="eastAsia" w:ascii="微軟正黑體" w:hAnsi="微軟正黑體" w:eastAsia="微軟正黑體" w:cs="新細明體"/>
          <w:kern w:val="0"/>
          <w:sz w:val="22"/>
        </w:rPr>
        <w:t>MnasNet 引入基於squeeze and excitation結構的輕量級注意力模型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b/>
          <w:bCs/>
          <w:kern w:val="0"/>
          <w:sz w:val="22"/>
          <w:lang w:val="zh-TW"/>
        </w:rPr>
      </w:pPr>
      <w:r>
        <w:rPr>
          <w:rFonts w:ascii="微軟正黑體" w:hAnsi="微軟正黑體" w:eastAsia="微軟正黑體" w:cs="新細明體"/>
          <w:b/>
          <w:bCs/>
          <w:kern w:val="0"/>
          <w:sz w:val="22"/>
          <w:lang w:val="zh-TW"/>
        </w:rPr>
        <w:t>Network Architecture Search(NAS)</w:t>
      </w:r>
    </w:p>
    <w:p>
      <w:pPr>
        <w:autoSpaceDE w:val="0"/>
        <w:autoSpaceDN w:val="0"/>
        <w:adjustRightInd w:val="0"/>
        <w:spacing w:after="200" w:line="276" w:lineRule="auto"/>
        <w:rPr>
          <w:rFonts w:ascii="微軟正黑體" w:hAnsi="微軟正黑體" w:eastAsia="微軟正黑體" w:cs="新細明體"/>
          <w:kern w:val="0"/>
          <w:sz w:val="22"/>
          <w:lang w:val="zh-TW"/>
        </w:rPr>
      </w:pP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經典使用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RNN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作為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controller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產生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child network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，再對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child network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進行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training and evaluate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，得到網路性能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(accuracy)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，最後更新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 xml:space="preserve">controller params. 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但無法直接對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controller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進行優化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(child network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不可導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)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，透過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RL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，採用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policy gradient</w:t>
      </w:r>
      <w:r>
        <w:rPr>
          <w:rFonts w:hint="eastAsia" w:ascii="微軟正黑體" w:hAnsi="微軟正黑體" w:eastAsia="微軟正黑體" w:cs="新細明體"/>
          <w:kern w:val="0"/>
          <w:sz w:val="22"/>
          <w:lang w:val="zh-TW"/>
        </w:rPr>
        <w:t>方法直接更新</w:t>
      </w:r>
      <w:r>
        <w:rPr>
          <w:rFonts w:ascii="微軟正黑體" w:hAnsi="微軟正黑體" w:eastAsia="微軟正黑體" w:cs="新細明體"/>
          <w:kern w:val="0"/>
          <w:sz w:val="22"/>
          <w:lang w:val="zh-TW"/>
        </w:rPr>
        <w:t>controller params.</w:t>
      </w:r>
    </w:p>
    <w:p>
      <w:pPr>
        <w:autoSpaceDE w:val="0"/>
        <w:autoSpaceDN w:val="0"/>
        <w:adjustRightInd w:val="0"/>
        <w:rPr>
          <w:rFonts w:hint="eastAsia" w:ascii="微軟正黑體" w:hAnsi="微軟正黑體" w:eastAsia="微軟正黑體" w:cs="新細明體"/>
          <w:b/>
          <w:kern w:val="0"/>
          <w:sz w:val="22"/>
        </w:rPr>
      </w:pPr>
      <w:r>
        <w:rPr>
          <w:rFonts w:ascii="微軟正黑體" w:hAnsi="微軟正黑體" w:eastAsia="微軟正黑體" w:cs="新細明體"/>
          <w:b/>
          <w:kern w:val="0"/>
          <w:sz w:val="22"/>
        </w:rPr>
        <w:t>A</w:t>
      </w:r>
      <w:r>
        <w:rPr>
          <w:rFonts w:hint="eastAsia" w:ascii="微軟正黑體" w:hAnsi="微軟正黑體" w:eastAsia="微軟正黑體" w:cs="新細明體"/>
          <w:b/>
          <w:kern w:val="0"/>
          <w:sz w:val="22"/>
        </w:rPr>
        <w:t>ctivation function = Swish</w:t>
      </w:r>
    </w:p>
    <w:p>
      <w:pPr>
        <w:autoSpaceDE w:val="0"/>
        <w:autoSpaceDN w:val="0"/>
        <w:adjustRightInd w:val="0"/>
        <w:rPr>
          <w:rFonts w:hint="eastAsia" w:ascii="微軟正黑體" w:hAnsi="微軟正黑體" w:eastAsia="微軟正黑體" w:cs="新細明體"/>
          <w:kern w:val="0"/>
          <w:sz w:val="22"/>
        </w:rPr>
      </w:pPr>
      <w:r>
        <w:rPr>
          <w:rFonts w:hint="eastAsia" w:ascii="微軟正黑體" w:hAnsi="微軟正黑體" w:eastAsia="微軟正黑體" w:cs="新細明體"/>
          <w:kern w:val="0"/>
          <w:sz w:val="22"/>
        </w:rPr>
        <w:drawing>
          <wp:inline distT="0" distB="0" distL="0" distR="0">
            <wp:extent cx="2895600" cy="590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 w:ascii="微軟正黑體" w:hAnsi="微軟正黑體" w:eastAsia="微軟正黑體" w:cs="新細明體"/>
          <w:kern w:val="0"/>
          <w:sz w:val="22"/>
        </w:rPr>
      </w:pPr>
      <w:r>
        <w:rPr>
          <w:rFonts w:ascii="微軟正黑體" w:hAnsi="微軟正黑體" w:eastAsia="微軟正黑體" w:cs="新細明體"/>
          <w:kern w:val="0"/>
          <w:sz w:val="22"/>
        </w:rPr>
        <w:t>S</w:t>
      </w:r>
      <w:r>
        <w:rPr>
          <w:rFonts w:hint="eastAsia" w:ascii="微軟正黑體" w:hAnsi="微軟正黑體" w:eastAsia="微軟正黑體" w:cs="新細明體"/>
          <w:kern w:val="0"/>
          <w:sz w:val="22"/>
        </w:rPr>
        <w:t>wish在深層模型上效果優於ReLU，替換後 mobile NASNETA在ImageNet分類準確提高0.9%，Inception-ResNet-v 分類準確提高0.6%</w:t>
      </w:r>
    </w:p>
    <w:p>
      <w:pPr>
        <w:autoSpaceDE w:val="0"/>
        <w:autoSpaceDN w:val="0"/>
        <w:adjustRightInd w:val="0"/>
        <w:rPr>
          <w:rFonts w:hint="eastAsia" w:ascii="微軟正黑體" w:hAnsi="微軟正黑體" w:eastAsia="微軟正黑體" w:cs="新細明體"/>
          <w:kern w:val="0"/>
          <w:sz w:val="22"/>
        </w:rPr>
      </w:pPr>
      <w:r>
        <w:rPr>
          <w:rFonts w:hint="eastAsia" w:ascii="微軟正黑體" w:hAnsi="微軟正黑體" w:eastAsia="微軟正黑體" w:cs="新細明體"/>
          <w:kern w:val="0"/>
          <w:sz w:val="22"/>
        </w:rPr>
        <w:t>但計算量太大，對swish進行數值近，提出h-swish(hard version of swish)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eastAsia" w:ascii="微軟正黑體" w:hAnsi="微軟正黑體" w:eastAsia="微軟正黑體" w:cs="新細明體"/>
          <w:kern w:val="0"/>
          <w:sz w:val="22"/>
        </w:rPr>
      </w:pPr>
    </w:p>
    <w:p>
      <w:pPr>
        <w:autoSpaceDE w:val="0"/>
        <w:autoSpaceDN w:val="0"/>
        <w:adjustRightInd w:val="0"/>
        <w:rPr>
          <w:rFonts w:ascii="微軟正黑體" w:hAnsi="微軟正黑體" w:eastAsia="微軟正黑體" w:cs="新細明體"/>
          <w:kern w:val="0"/>
          <w:sz w:val="22"/>
        </w:rPr>
      </w:pPr>
      <w:r>
        <w:rPr>
          <w:rFonts w:hint="eastAsia" w:ascii="微軟正黑體" w:hAnsi="微軟正黑體" w:eastAsia="微軟正黑體" w:cs="新細明體"/>
          <w:kern w:val="0"/>
          <w:sz w:val="22"/>
        </w:rPr>
        <w:t>****</w:t>
      </w:r>
      <w:r>
        <w:rPr>
          <w:rFonts w:ascii="微軟正黑體" w:hAnsi="微軟正黑體" w:eastAsia="微軟正黑體" w:cs="新細明體"/>
          <w:kern w:val="0"/>
          <w:sz w:val="22"/>
        </w:rPr>
        <w:t xml:space="preserve">feature map =  (in_w - kernel_w + 2 * padding) / stride + 1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06CEB"/>
    <w:multiLevelType w:val="multilevel"/>
    <w:tmpl w:val="5CC06C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42F78"/>
    <w:rsid w:val="72A4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2021-05-26T08:50:00Z</dcterms:created>
  <dc:creator>24703</dc:creator>
  <cp:lastModifiedBy>24703</cp:lastModifiedBy>
  <dcterms:modified xsi:type="dcterms:W3CDTF">2021-05-26T08:50:42Z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