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30.png" ContentType="image/png"/>
  <Override PartName="/word/media/rId23.png" ContentType="image/png"/>
  <Override PartName="/word/media/rId25.png" ContentType="image/png"/>
  <Override PartName="/word/media/rId26.png" ContentType="image/png"/>
  <Override PartName="/word/media/rId2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Appendix</w:t>
      </w:r>
    </w:p>
    <w:p>
      <w:pPr>
        <w:pStyle w:val="Heading1"/>
      </w:pPr>
      <w:bookmarkStart w:id="20" w:name="appendix"/>
      <w:r>
        <w:t xml:space="preserve">Appendix</w:t>
      </w:r>
      <w:bookmarkEnd w:id="20"/>
    </w:p>
    <w:p>
      <w:pPr>
        <w:pStyle w:val="Heading2"/>
      </w:pPr>
      <w:bookmarkStart w:id="21" w:name="additional-comparisons"/>
      <w:r>
        <w:t xml:space="preserve">Additional comparisons</w:t>
      </w:r>
      <w:bookmarkEnd w:id="21"/>
    </w:p>
    <w:p>
      <w:pPr>
        <w:pStyle w:val="Heading3"/>
      </w:pPr>
      <w:bookmarkStart w:id="22" w:name="comparison-of-mean-trajectories"/>
      <w:r>
        <w:t xml:space="preserve">Comparison of mean trajectories</w:t>
      </w:r>
      <w:bookmarkEnd w:id="22"/>
    </w:p>
    <w:p>
      <w:pPr>
        <w:pStyle w:val="FirstParagraph"/>
      </w:pPr>
      <w:r>
        <w:t xml:space="preserve">The mean trajectories of kelp particles were different compared to the mean trajectory of passive particles for April (autumn). Mean trajectories for kelp particles with different cross-sectional areas exposed to only hydrodynamic drag travelled further northward compared to the passive particles (see Figure 7A-B). The mean trajectories of kelp particles with different cross-sectional area types and a combination of wind and hydrodynamic drag flowed further north-westward compared to the passive particles. Across all simulations for April, the end locations were different, and hydrodynamic only kelp particles travelled less distance compared to kelp particles with both wind and hydrodynamic drag. Differences in mean trajectories between kelp and passive particles were also evident in the July (winter) simulations (see Figure 7C-D). Mean trajectories of passive particles flowed north-westward, while kelp particles across cross-sectional areas and exposed to only hydrodynamic drag initially flowed in a southerly direction and then flowed westward offshore; resulting in entrainment within an eddy. Similar behaviour is evident when comparing passive particles with kelp particles exposed to both hydrodynamic and wind drag. In the combined hydrodynamic and water drag scenarios, and across cross-sectional areas; kelp particles travelled initially southward and then westward offshore and also becoming entrained in an eddy. In the October (Spring) simulations, differences in end locations were evident between passive and kelp particles across cross-sectional areas and drag scenarios (see Figure 7E-F). Mean Trajectory of kelp particles with different cross-sectional areas and exposed to only hydrodynamic drag ended a greater distance from the release site compared to the passive particles. This was also evident when comparing kelp particles with different cross-sectional areas and exposure to wind and hydrodynamic drag with passive particles; with the end location a further from the release location. In both the April and October simulations all particles flowed north-westward, while in winter the mean trajectory resulted in entrainment within an eddy.</w:t>
      </w:r>
    </w:p>
    <w:p>
      <w:pPr>
        <w:pStyle w:val="CaptionedFigure"/>
      </w:pPr>
      <w:r>
        <w:drawing>
          <wp:inline>
            <wp:extent cx="6197600" cy="7747000"/>
            <wp:effectExtent b="0" l="0" r="0" t="0"/>
            <wp:docPr descr="Figure 7: Comparison of mean trajectories for only hydrodynamic drag and mean trajectories for simulations with varying degrees of hydrodynamic and wind drag. Panel (A) represents hydrodynamic drag only simulations and Panel (B) represents simulations for both wind and hydrodynamic drag, for April. Panel (C) represents hydrodynamic drag only simulations and Panel (D) represents simulations for both wind and hydrodynamic drag, for July. Panel (E) represents hydrodynamic drag only simulations and Panel (F) represents simulations for both wind and hydrodynamic drag, for October. In all panels the passive simulations are represented by black lines." title="" id="1" name="Picture"/>
            <a:graphic>
              <a:graphicData uri="http://schemas.openxmlformats.org/drawingml/2006/picture">
                <pic:pic>
                  <pic:nvPicPr>
                    <pic:cNvPr descr="appendix_chapter_3_files/figure-docx/unnamed-chunk-2-1.png" id="0" name="Picture"/>
                    <pic:cNvPicPr>
                      <a:picLocks noChangeArrowheads="1" noChangeAspect="1"/>
                    </pic:cNvPicPr>
                  </pic:nvPicPr>
                  <pic:blipFill>
                    <a:blip r:embed="rId23"/>
                    <a:stretch>
                      <a:fillRect/>
                    </a:stretch>
                  </pic:blipFill>
                  <pic:spPr bwMode="auto">
                    <a:xfrm>
                      <a:off x="0" y="0"/>
                      <a:ext cx="6197600" cy="7747000"/>
                    </a:xfrm>
                    <a:prstGeom prst="rect">
                      <a:avLst/>
                    </a:prstGeom>
                    <a:noFill/>
                    <a:ln w="9525">
                      <a:noFill/>
                      <a:headEnd/>
                      <a:tailEnd/>
                    </a:ln>
                  </pic:spPr>
                </pic:pic>
              </a:graphicData>
            </a:graphic>
          </wp:inline>
        </w:drawing>
      </w:r>
    </w:p>
    <w:p>
      <w:pPr>
        <w:pStyle w:val="ImageCaption"/>
      </w:pPr>
      <w:r>
        <w:t xml:space="preserve">Figure 7: Comparison of mean trajectories for only hydrodynamic drag and mean trajectories for simulations with varying degrees of hydrodynamic and wind drag. Panel (A) represents hydrodynamic drag only simulations and Panel (B) represents simulations for both wind and hydrodynamic drag, for April. Panel (C) represents hydrodynamic drag only simulations and Panel (D) represents simulations for both wind and hydrodynamic drag, for July. Panel (E) represents hydrodynamic drag only simulations and Panel (F) represents simulations for both wind and hydrodynamic drag, for October. In all panels the passive simulations are represented by black lines.</w:t>
      </w:r>
    </w:p>
    <w:p>
      <w:pPr>
        <w:pStyle w:val="Heading3"/>
      </w:pPr>
      <w:bookmarkStart w:id="24" w:name="comparison-of-density-distributions"/>
      <w:r>
        <w:t xml:space="preserve">Comparison of density distributions</w:t>
      </w:r>
      <w:bookmarkEnd w:id="24"/>
    </w:p>
    <w:p>
      <w:pPr>
        <w:pStyle w:val="FirstParagraph"/>
      </w:pPr>
      <w:r>
        <w:t xml:space="preserve">In April and across all simulations, particles flowed in a north-westward direction (see Figure 8). The density plots that considered any form of drag showed narrow, higher density along the mean trajectory compared to passive simulation. In addition, simulations that considered any form of drag got entrained within an eddy further north-westward from the end location of passive particles. Only slight variations across cross-sectional areas and drag exposure scenarios are evident. Simulations for July showed that the flow was also north-westward, but all kelp particles across cross-sectional areas and drag scenarios show high density of particles entrained in a eddy located westward of the release site compared to passive particles (see Figure 9). Variation in density along the mean trajectory and eddy for all kelp particles is evident. Kelp particles with only hydrodynamic drag across cross-sectional areas showed lower density of particles along the mean trajectory compared to kelp particles with both wind and hydrodynamic drag. October simulations showed no differences in density of particles along the mean trajectory when comparing passive and kelp particles. Only slight variations in density and trajectory can be seen with no entrainment (see Figure 10). Kelp particles with any cross-sectional area and drag exposure scenario flowed further offshore when compared to passive particles.</w:t>
      </w:r>
    </w:p>
    <w:p>
      <w:pPr>
        <w:pStyle w:val="CaptionedFigure"/>
      </w:pPr>
      <w:r>
        <w:drawing>
          <wp:inline>
            <wp:extent cx="6197600" cy="8427014"/>
            <wp:effectExtent b="0" l="0" r="0" t="0"/>
            <wp:docPr descr="Figure 8: Comparison of density plots at the end run time for scenarios 17 - 29, for April 2018 (winter). The plots are regular hexagons within the density of particles were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3-1.png" id="0" name="Picture"/>
                    <pic:cNvPicPr>
                      <a:picLocks noChangeArrowheads="1" noChangeAspect="1"/>
                    </pic:cNvPicPr>
                  </pic:nvPicPr>
                  <pic:blipFill>
                    <a:blip r:embed="rId25"/>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8: Comparison of density plots at the end run time for scenarios 17 - 29, for April 2018 (winter). The plots are regular hexagons within the density of particles were calculated. The mean trajectories for each scenario are also plotted for comparison. The reader is referred to tables 1 and 2 for details pertaining to each scenario.</w:t>
      </w:r>
    </w:p>
    <w:p>
      <w:pPr>
        <w:pStyle w:val="CaptionedFigure"/>
      </w:pPr>
      <w:r>
        <w:drawing>
          <wp:inline>
            <wp:extent cx="6197600" cy="8427014"/>
            <wp:effectExtent b="0" l="0" r="0" t="0"/>
            <wp:docPr descr="Figure 9: Comparison of density plots at the end run time for scenarios 30 - 42, for July 2018 (winter). The plots are regular hexagons within the density of particles were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4-1.png" id="0" name="Picture"/>
                    <pic:cNvPicPr>
                      <a:picLocks noChangeArrowheads="1" noChangeAspect="1"/>
                    </pic:cNvPicPr>
                  </pic:nvPicPr>
                  <pic:blipFill>
                    <a:blip r:embed="rId26"/>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9: Comparison of density plots at the end run time for scenarios 30 - 42, for July 2018 (winter). The plots are regular hexagons within the density of particles were calculated. The mean trajectories for each scenario are also plotted for comparison. The reader is referred to tables 1 and 2 for details pertaining to each scenario.</w:t>
      </w:r>
    </w:p>
    <w:p>
      <w:pPr>
        <w:pStyle w:val="CaptionedFigure"/>
      </w:pPr>
      <w:r>
        <w:drawing>
          <wp:inline>
            <wp:extent cx="6197600" cy="8427014"/>
            <wp:effectExtent b="0" l="0" r="0" t="0"/>
            <wp:docPr descr="Figure 10: Comparison of density plots at the end run time for scenarios 43 - 55, for October 2018 (spring). The plots are regular hexagons within the density of particles were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5-1.png" id="0" name="Picture"/>
                    <pic:cNvPicPr>
                      <a:picLocks noChangeArrowheads="1" noChangeAspect="1"/>
                    </pic:cNvPicPr>
                  </pic:nvPicPr>
                  <pic:blipFill>
                    <a:blip r:embed="rId27"/>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10: Comparison of density plots at the end run time for scenarios 43 - 55, for October 2018 (spring). The plots are regular hexagons within the density of particles were calculated. The mean trajectories for each scenario are also plotted for comparison. The reader is referred to tables 1 and 2 for details pertaining to each scenario.</w:t>
      </w:r>
    </w:p>
    <w:p>
      <w:pPr>
        <w:pStyle w:val="Heading2"/>
      </w:pPr>
      <w:bookmarkStart w:id="28" w:name="comparison-of-distances"/>
      <w:r>
        <w:t xml:space="preserve">Comparison of distances</w:t>
      </w:r>
      <w:bookmarkEnd w:id="28"/>
    </w:p>
    <w:p>
      <w:pPr>
        <w:pStyle w:val="FirstParagraph"/>
      </w:pPr>
      <w:r>
        <w:t xml:space="preserve">When comparing distances between passive and kelp particles for April, significant differences are evident. (Figure 11, simulations 17-29; p &lt; 0.05). Kelp particles with only 90% hydrodynamic and 10% wind drag across cross-sectional areas travelled shorter distance across compared to other kelp particles. The shortest distance travelled was the scenario with the maximum cross-sectional area and drag exposure scenarios. No significant differences are evident for the July simulations, with only slight variation across simulations (see Figure 11, simulations 30-42; p &gt; 0.05). In October, the plot shows significant differences when comparing both passive and kelp particles (see Figure 11, simulations 43-55; p &lt; 0.05). Kelp particles with only 90% hydrodynamic drag across cross-sectional areas travelled shorter distance compared to all other particles. As seen in the April simulations, the kelp particles with the maximum cross-sectional area and drag exposure travelled the shortest distance compared to all other particles.</w:t>
      </w:r>
    </w:p>
    <w:p>
      <w:pPr>
        <w:pStyle w:val="SourceCode"/>
      </w:pPr>
      <w:r>
        <w:rPr>
          <w:rStyle w:val="VerbatimChar"/>
        </w:rPr>
        <w:t xml:space="preserve">## $`1`</w:t>
      </w:r>
    </w:p>
    <w:p>
      <w:pPr>
        <w:pStyle w:val="CaptionedFigure"/>
      </w:pPr>
      <w:r>
        <w:drawing>
          <wp:inline>
            <wp:extent cx="4620126" cy="5544151"/>
            <wp:effectExtent b="0" l="0" r="0" t="0"/>
            <wp:docPr descr="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appendix_chapter_3_files/figure-docx/distance%20plot%20additional-1.png" id="0" name="Picture"/>
                    <pic:cNvPicPr>
                      <a:picLocks noChangeArrowheads="1" noChangeAspect="1"/>
                    </pic:cNvPicPr>
                  </pic:nvPicPr>
                  <pic:blipFill>
                    <a:blip r:embed="rId29"/>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$`2`</w:t>
      </w:r>
    </w:p>
    <w:p>
      <w:pPr>
        <w:pStyle w:val="CaptionedFigure"/>
      </w:pPr>
      <w:r>
        <w:drawing>
          <wp:inline>
            <wp:extent cx="4620126" cy="5544151"/>
            <wp:effectExtent b="0" l="0" r="0" t="0"/>
            <wp:docPr descr="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appendix_chapter_3_files/figure-docx/distance%20plot%20additional-2.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attr(,"class")</w:t>
      </w:r>
      <w:r>
        <w:br/>
      </w:r>
      <w:r>
        <w:rPr>
          <w:rStyle w:val="VerbatimChar"/>
        </w:rPr>
        <w:t xml:space="preserve">## [1] "list"      "ggarrange"</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Appendix</dc:title>
  <dc:creator/>
  <cp:keywords/>
  <dcterms:created xsi:type="dcterms:W3CDTF">2021-03-23T12:06:03Z</dcterms:created>
  <dcterms:modified xsi:type="dcterms:W3CDTF">2021-03-23T12:06:03Z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