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Override PartName="/word/media/rId40.png" ContentType="image/png"/>
  <Override PartName="/word/media/rId39.png" ContentType="image/png"/>
  <Override PartName="/word/media/image4.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and has been used mostly in this regard. However, ocean models can also be used in operational oceanography (now-casts and forecasts) in the maritime and shipping industry,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the water entering a grid box will be the same as the water exiting the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an ocean model from rest.</w:t>
      </w:r>
    </w:p>
    <w:p>
      <w:pPr>
        <w:pStyle w:val="BodyText"/>
      </w:pPr>
      <w:r>
        <w:t xml:space="preserve">Ocean models use similar primitive equations to atmospheric models, with some minor differences (see equation list in appendix). Theses equations form the basis of ocean models but input is needed. Ocean models also need input on boundary conditions such as basin geometry, bathymetry and atmospheric pressure. The Atmospheric pressure can be solved for dynamically or at the very least the effects need to approximated and imposed. Initial abiotic conditions are another important input into ocean models. Initial conditions include the mean state of temperature, salinity and velocity fields and can be calculated from climatology data or from previously run ocean model. Finally, the forcing fields, both dynamic and static, are needed such as shortwave radiation, long-wave radiation, latent heat, evaporation, precipitation and land surface run-off. Examples of dynamic forcing fields are winds and tides.</w:t>
      </w:r>
    </w:p>
    <w:p>
      <w:pPr>
        <w:pStyle w:val="BodyText"/>
      </w:pPr>
      <w:r>
        <w:t xml:space="preserve">A model can be defined by the resolution, parametrisation and intergration.</w:t>
      </w:r>
    </w:p>
    <w:p>
      <w:pPr>
        <w:pStyle w:val="Heading2"/>
      </w:pPr>
      <w:bookmarkStart w:id="45" w:name="introduction-1"/>
      <w:r>
        <w:t xml:space="preserve">Introduction</w:t>
      </w:r>
      <w:bookmarkEnd w:id="45"/>
    </w:p>
    <w:p>
      <w:pPr>
        <w:pStyle w:val="Heading1"/>
      </w:pPr>
      <w:bookmarkStart w:id="46" w:name="hydrodynamic-modelling"/>
      <w:r>
        <w:t xml:space="preserve">Hydrodynamic modelling</w:t>
      </w:r>
      <w:bookmarkEnd w:id="46"/>
    </w:p>
    <w:p>
      <w:pPr>
        <w:pStyle w:val="Heading2"/>
      </w:pPr>
      <w:bookmarkStart w:id="47" w:name="introduction-2"/>
      <w:r>
        <w:t xml:space="preserve">Introduction</w:t>
      </w:r>
      <w:bookmarkEnd w:id="47"/>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 [</w:t>
      </w:r>
      <w:r>
        <w:t xml:space="preserve">Bernardes Batista et al. (2018)</w:t>
      </w:r>
      <w:r>
        <w:t xml:space="preserve">;</w:t>
      </w:r>
      <w:r>
        <w:t xml:space="preserve">(</w:t>
      </w:r>
      <w:r>
        <w:rPr>
          <w:b/>
        </w:rPr>
        <w:t xml:space="preserve">???</w:t>
      </w:r>
      <w:r>
        <w:t xml:space="preserve">)</w:t>
      </w:r>
      <w:r>
        <w:t xml:space="preserve">;</w:t>
      </w:r>
      <w:r>
        <w:t xml:space="preserve">Highsmith (1985)</w:t>
      </w:r>
      <w:r>
        <w:t xml:space="preserve">;</w:t>
      </w:r>
      <w:hyperlink r:id="rId55">
        <w:r>
          <w:rPr>
            <w:rStyle w:val="Hyperlink"/>
          </w:rPr>
          <w:t xml:space="preserve">macarthur2001;@jackson2010</w:t>
        </w:r>
      </w:hyperlink>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6" w:name="X02258dc08d8f14a98557edd772ee9b04be0a546"/>
      <w:r>
        <w:t xml:space="preserve">Calculating characteristics of kelp drift</w:t>
      </w:r>
      <w:bookmarkEnd w:id="56"/>
    </w:p>
    <w:p>
      <w:pPr>
        <w:pStyle w:val="Heading2"/>
      </w:pPr>
      <w:bookmarkStart w:id="57" w:name="X159d28bb74c2d9a83087565a7a04fe26bf301d9"/>
      <w:r>
        <w:t xml:space="preserve">Buoyancy of drifting objects in the oceans</w:t>
      </w:r>
      <w:bookmarkEnd w:id="57"/>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58"/>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9" w:name="X2a0b4fcf9650ba1509eedf6b024827587ab9b4a"/>
      <w:r>
        <w:t xml:space="preserve">Wind effects on drifting objects in the oceans</w:t>
      </w:r>
      <w:bookmarkEnd w:id="59"/>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60" w:name="kelps-in-south-africa"/>
      <w:r>
        <w:t xml:space="preserve">Kelps in South Africa</w:t>
      </w:r>
      <w:bookmarkEnd w:id="60"/>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1" w:name="aims-of-research"/>
      <w:r>
        <w:t xml:space="preserve">Aims of research</w:t>
      </w:r>
      <w:bookmarkEnd w:id="61"/>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2" w:name="references"/>
      <w:r>
        <w:t xml:space="preserve">References</w:t>
      </w:r>
      <w:bookmarkEnd w:id="62"/>
    </w:p>
    <w:p>
      <w:pPr>
        <w:pStyle w:val="Heading1"/>
      </w:pPr>
      <w:bookmarkStart w:id="63" w:name="appendix"/>
      <w:r>
        <w:t xml:space="preserve">Appendix</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Equation</w:t>
            </w:r>
          </w:p>
        </w:tc>
        <w:tc>
          <w:tcPr>
            <w:tcBorders>
              <w:bottom w:val="single"/>
            </w:tcBorders>
            <w:vAlign w:val="bottom"/>
          </w:tcPr>
          <w:p>
            <w:pPr>
              <w:pStyle w:val="Compact"/>
              <w:jc w:val="left"/>
            </w:pPr>
            <w:r>
              <w:t xml:space="preserve">Name</w:t>
            </w:r>
          </w:p>
        </w:tc>
      </w:tr>
      <w:tr>
        <w:tc>
          <w:p>
            <w:pPr>
              <w:pStyle w:val="Compact"/>
              <w:jc w:val="left"/>
            </w:pPr>
            <m:oMath>
              <m:r>
                <m:t>1</m:t>
              </m:r>
              <m:r>
                <m:t>+</m:t>
              </m:r>
              <m:r>
                <m:t>1</m:t>
              </m:r>
              <m:r>
                <m:t>=</m:t>
              </m:r>
              <m:r>
                <m:t>2</m:t>
              </m:r>
            </m:oMath>
          </w:p>
        </w:tc>
        <w:tc>
          <w:p>
            <w:pPr>
              <w:pStyle w:val="Compact"/>
              <w:jc w:val="left"/>
            </w:pPr>
            <w:r>
              <w:t xml:space="preserve">Horizontal momentum</w:t>
            </w:r>
          </w:p>
        </w:tc>
      </w:tr>
      <w:tr>
        <w:tc>
          <w:p>
            <w:pPr>
              <w:pStyle w:val="Compact"/>
              <w:jc w:val="left"/>
            </w:pPr>
            <m:oMath>
              <m:r>
                <m:t>3</m:t>
              </m:r>
              <m:r>
                <m:t>+</m:t>
              </m:r>
              <m:r>
                <m:t>0</m:t>
              </m:r>
              <m:r>
                <m:t>=</m:t>
              </m:r>
              <m:r>
                <m:t>3</m:t>
              </m:r>
            </m:oMath>
          </w:p>
        </w:tc>
        <w:tc>
          <w:p>
            <w:pPr>
              <w:pStyle w:val="Compact"/>
              <w:jc w:val="left"/>
            </w:pPr>
            <w:r>
              <w:t xml:space="preserve">Hydrostatic balance</w:t>
            </w:r>
          </w:p>
        </w:tc>
      </w:tr>
    </w:tbl>
    <w:bookmarkStart w:id="79" w:name="refs"/>
    <w:bookmarkStart w:id="64"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4"/>
    <w:bookmarkStart w:id="65" w:name="ref-black1990"/>
    <w:p>
      <w:pPr>
        <w:pStyle w:val="Bibliography"/>
      </w:pPr>
      <w:r>
        <w:t xml:space="preserve">Black, Kerry P, and Stephen L Gay. 1990. “A Numerical Scheme for Determining Trajectories in Particle Models,” 151–56.</w:t>
      </w:r>
    </w:p>
    <w:bookmarkEnd w:id="65"/>
    <w:bookmarkStart w:id="66"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6"/>
    <w:bookmarkStart w:id="67"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7"/>
    <w:bookmarkStart w:id="68"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68"/>
    <w:bookmarkStart w:id="69"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69"/>
    <w:bookmarkStart w:id="70"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0"/>
    <w:bookmarkStart w:id="71"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71"/>
    <w:bookmarkStart w:id="72"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72"/>
    <w:bookmarkStart w:id="73"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73"/>
    <w:bookmarkStart w:id="74"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74"/>
    <w:bookmarkStart w:id="75"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75"/>
    <w:bookmarkStart w:id="76"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76"/>
    <w:bookmarkStart w:id="77"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77"/>
    <w:bookmarkStart w:id="78"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78"/>
    <w:bookmarkEnd w:id="79"/>
    <w:sectPr w:rsidR="00D0289C" w:rsidRPr="000E16CC" w:rsidSect="003937E5">
      <w:footerReference w:type="default" r:id="rId9"/>
      <w:pgSz w:w="11909" w:h="16834" w:code="9"/>
      <w:pgMar w:top="720" w:right="851" w:bottom="720" w:left="720" w:header="709" w:footer="709" w:gutter="0"/>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sto MT">
    <w:altName w:val="Cambria Math"/>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F2" w:rsidRPr="0040063C" w:rsidRDefault="00973FC0">
    <w:pPr>
      <w:pStyle w:val="Footer"/>
      <w:jc w:val="center"/>
      <w:rPr>
        <w:sz w:val="22"/>
      </w:rPr>
    </w:pPr>
    <w:r w:rsidRPr="0040063C">
      <w:rPr>
        <w:sz w:val="22"/>
      </w:rPr>
      <w:fldChar w:fldCharType="begin"/>
    </w:r>
    <w:r w:rsidRPr="0040063C">
      <w:rPr>
        <w:sz w:val="22"/>
      </w:rPr>
      <w:instrText xml:space="preserve"> PAGE   </w:instrText>
    </w:r>
    <w:r w:rsidRPr="0040063C">
      <w:rPr>
        <w:sz w:val="22"/>
      </w:rPr>
      <w:instrText xml:space="preserve">\* MERGEFORMAT </w:instrText>
    </w:r>
    <w:r w:rsidRPr="0040063C">
      <w:rPr>
        <w:sz w:val="22"/>
      </w:rPr>
      <w:fldChar w:fldCharType="separate"/>
    </w:r>
    <w:r w:rsidR="00EA77E4">
      <w:rPr>
        <w:noProof/>
        <w:sz w:val="22"/>
      </w:rPr>
      <w:t>2</w:t>
    </w:r>
    <w:r w:rsidRPr="0040063C">
      <w:rPr>
        <w:noProof/>
        <w:sz w:val="22"/>
      </w:rPr>
      <w:fldChar w:fldCharType="end"/>
    </w:r>
  </w:p>
  <w:p w:rsidR="003D23F2" w:rsidRPr="00A70A6E" w:rsidRDefault="00973FC0">
    <w:pPr>
      <w:pStyle w:val="Footer"/>
      <w:rPr>
        <w:sz w:val="16"/>
        <w:szCs w:val="16"/>
        <w:lang w:val="en-ZA"/>
      </w:rPr>
    </w:pPr>
  </w:p>
  <w:p w:rsidR="003D23F2" w:rsidRPr="00437D6A" w:rsidRDefault="00973FC0" w:rsidP="00437D6A">
    <w:pPr>
      <w:jc w:val="center"/>
      <w:rPr>
        <w:rFonts w:ascii="Arial" w:hAnsi="Arial" w:cs="Arial"/>
        <w:sz w:val="16"/>
        <w:szCs w:val="16"/>
      </w:rPr>
    </w:pPr>
    <w:r>
      <w:rPr>
        <w:rFonts w:ascii="Arial" w:hAnsi="Arial" w:cs="Arial"/>
        <w:sz w:val="16"/>
        <w:szCs w:val="16"/>
      </w:rPr>
      <w:t>(U</w:t>
    </w:r>
    <w:r w:rsidRPr="007C6000">
      <w:rPr>
        <w:rFonts w:ascii="Arial" w:hAnsi="Arial" w:cs="Arial"/>
        <w:sz w:val="16"/>
        <w:szCs w:val="16"/>
      </w:rPr>
      <w:t>pdated in 2017</w:t>
    </w:r>
    <w:r>
      <w:rPr>
        <w:rFonts w:ascii="Arial" w:hAnsi="Arial" w:cs="Arial"/>
        <w:sz w:val="16"/>
        <w:szCs w:val="16"/>
      </w:rPr>
      <w:t xml:space="preserve"> and approved by the Science Faculty Board on 11 October 2017</w:t>
    </w:r>
    <w:r w:rsidRPr="007C6000">
      <w:rPr>
        <w:rFonts w:ascii="Arial" w:hAnsi="Arial" w:cs="Arial"/>
        <w:sz w:val="16"/>
        <w:szCs w:val="16"/>
      </w:rPr>
      <w:t>)</w:t>
    </w:r>
  </w:p>
  <w:p w:rsidR="003D23F2" w:rsidRDefault="00973FC0"/>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F5C24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4582D31"/>
    <w:multiLevelType w:val="multilevel"/>
    <w:tmpl w:val="451A80A8"/>
    <w:styleLink w:val="StyleNumberedLeft0cm"/>
    <w:lvl w:ilvl="0">
      <w:start w:val="5"/>
      <w:numFmt w:val="decimal"/>
      <w:lvlText w:val="%1"/>
      <w:lvlJc w:val="left"/>
      <w:pPr>
        <w:tabs>
          <w:tab w:val="num" w:pos="720"/>
        </w:tabs>
        <w:ind w:left="720" w:hanging="360"/>
      </w:pPr>
      <w:rPr>
        <w:rFonts w:ascii="Arial" w:hAnsi="Aria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2DFF518B"/>
    <w:multiLevelType w:val="multilevel"/>
    <w:tmpl w:val="37E0E7B8"/>
    <w:styleLink w:val="StyleOutlinenumberedLeft0cmHanging127cm"/>
    <w:lvl w:ilvl="0">
      <w:start w:val="4"/>
      <w:numFmt w:val="decimal"/>
      <w:lvlText w:val="%1"/>
      <w:lvlJc w:val="left"/>
      <w:pPr>
        <w:tabs>
          <w:tab w:val="num" w:pos="720"/>
        </w:tabs>
        <w:ind w:left="720" w:hanging="720"/>
      </w:pPr>
      <w:rPr>
        <w:rFonts w:ascii="Arial" w:hAnsi="Arial"/>
        <w:b/>
        <w:sz w:val="24"/>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41FB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83534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835344"/>
    <w:pPr>
      <w:keepNext/>
      <w:jc w:val="both"/>
      <w:outlineLvl w:val="2"/>
    </w:pPr>
    <w:rPr>
      <w:b/>
      <w:bCs/>
      <w:sz w:val="28"/>
      <w:lang w:val="en-Z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41307"/>
    <w:pPr>
      <w:shd w:val="clear" w:color="auto" w:fill="000080"/>
    </w:pPr>
    <w:rPr>
      <w:rFonts w:ascii="Tahoma" w:hAnsi="Tahoma" w:cs="Tahoma"/>
      <w:sz w:val="20"/>
      <w:szCs w:val="20"/>
    </w:rPr>
  </w:style>
  <w:style w:type="paragraph" w:styleId="BalloonText">
    <w:name w:val="Balloon Text"/>
    <w:basedOn w:val="Normal"/>
    <w:link w:val="BalloonTextChar"/>
    <w:uiPriority w:val="99"/>
    <w:rsid w:val="00327E45"/>
    <w:rPr>
      <w:rFonts w:ascii="Tahoma" w:hAnsi="Tahoma"/>
      <w:sz w:val="16"/>
      <w:szCs w:val="16"/>
      <w:lang w:val="x-none" w:eastAsia="x-none"/>
    </w:rPr>
  </w:style>
  <w:style w:type="paragraph" w:styleId="Header">
    <w:name w:val="header"/>
    <w:basedOn w:val="Normal"/>
    <w:link w:val="HeaderChar"/>
    <w:uiPriority w:val="99"/>
    <w:rsid w:val="00296A0F"/>
    <w:pPr>
      <w:tabs>
        <w:tab w:val="center" w:pos="4680"/>
        <w:tab w:val="right" w:pos="9360"/>
      </w:tabs>
    </w:pPr>
    <w:rPr>
      <w:lang w:val="x-none" w:eastAsia="x-none"/>
    </w:rPr>
  </w:style>
  <w:style w:type="character" w:customStyle="1" w:styleId="HeaderChar">
    <w:name w:val="Header Char"/>
    <w:link w:val="Header"/>
    <w:uiPriority w:val="99"/>
    <w:rsid w:val="00296A0F"/>
    <w:rPr>
      <w:sz w:val="24"/>
      <w:szCs w:val="24"/>
    </w:rPr>
  </w:style>
  <w:style w:type="paragraph" w:styleId="Footer">
    <w:name w:val="footer"/>
    <w:basedOn w:val="Normal"/>
    <w:link w:val="FooterChar"/>
    <w:uiPriority w:val="99"/>
    <w:rsid w:val="00296A0F"/>
    <w:pPr>
      <w:tabs>
        <w:tab w:val="center" w:pos="4680"/>
        <w:tab w:val="right" w:pos="9360"/>
      </w:tabs>
    </w:pPr>
    <w:rPr>
      <w:lang w:val="x-none" w:eastAsia="x-none"/>
    </w:rPr>
  </w:style>
  <w:style w:type="character" w:customStyle="1" w:styleId="FooterChar">
    <w:name w:val="Footer Char"/>
    <w:link w:val="Footer"/>
    <w:uiPriority w:val="99"/>
    <w:rsid w:val="00296A0F"/>
    <w:rPr>
      <w:sz w:val="24"/>
      <w:szCs w:val="24"/>
    </w:rPr>
  </w:style>
  <w:style w:type="paragraph" w:styleId="ListParagraph">
    <w:name w:val="List Paragraph"/>
    <w:basedOn w:val="Normal"/>
    <w:uiPriority w:val="34"/>
    <w:qFormat/>
    <w:rsid w:val="000E16CC"/>
    <w:pPr>
      <w:spacing w:after="200" w:line="276" w:lineRule="auto"/>
      <w:ind w:left="720"/>
      <w:contextualSpacing/>
    </w:pPr>
    <w:rPr>
      <w:rFonts w:ascii="Calibri" w:eastAsia="Calibri" w:hAnsi="Calibri"/>
      <w:sz w:val="22"/>
      <w:szCs w:val="22"/>
      <w:lang w:val="en-ZA"/>
    </w:rPr>
  </w:style>
  <w:style w:type="character" w:styleId="Hyperlink">
    <w:name w:val="Hyperlink"/>
    <w:uiPriority w:val="99"/>
    <w:rsid w:val="001D0EDB"/>
    <w:rPr>
      <w:rFonts w:cs="Times New Roman"/>
      <w:color w:val="0000FF"/>
      <w:u w:val="single"/>
    </w:rPr>
  </w:style>
  <w:style w:type="character" w:customStyle="1" w:styleId="Heading1Char">
    <w:name w:val="Heading 1 Char"/>
    <w:link w:val="Heading1"/>
    <w:rsid w:val="00441FB4"/>
    <w:rPr>
      <w:rFonts w:ascii="Cambria" w:eastAsia="Times New Roman" w:hAnsi="Cambria" w:cs="Times New Roman"/>
      <w:b/>
      <w:bCs/>
      <w:kern w:val="32"/>
      <w:sz w:val="32"/>
      <w:szCs w:val="32"/>
    </w:rPr>
  </w:style>
  <w:style w:type="paragraph" w:styleId="BodyText">
    <w:name w:val="Body Text"/>
    <w:basedOn w:val="Normal"/>
    <w:link w:val="BodyTextChar"/>
    <w:rsid w:val="004E0843"/>
    <w:pPr>
      <w:spacing w:after="120"/>
    </w:pPr>
    <w:rPr>
      <w:lang w:val="x-none" w:eastAsia="x-none"/>
    </w:rPr>
  </w:style>
  <w:style w:type="character" w:customStyle="1" w:styleId="BodyTextChar">
    <w:name w:val="Body Text Char"/>
    <w:link w:val="BodyText"/>
    <w:rsid w:val="004E0843"/>
    <w:rPr>
      <w:sz w:val="24"/>
      <w:szCs w:val="24"/>
    </w:rPr>
  </w:style>
  <w:style w:type="paragraph" w:styleId="BodyTextIndent">
    <w:name w:val="Body Text Indent"/>
    <w:basedOn w:val="Normal"/>
    <w:link w:val="BodyTextIndentChar"/>
    <w:rsid w:val="007F10E1"/>
    <w:pPr>
      <w:spacing w:after="120"/>
      <w:ind w:left="360"/>
    </w:pPr>
    <w:rPr>
      <w:lang w:val="x-none" w:eastAsia="x-none"/>
    </w:rPr>
  </w:style>
  <w:style w:type="character" w:customStyle="1" w:styleId="BodyTextIndentChar">
    <w:name w:val="Body Text Indent Char"/>
    <w:link w:val="BodyTextIndent"/>
    <w:rsid w:val="007F10E1"/>
    <w:rPr>
      <w:sz w:val="24"/>
      <w:szCs w:val="24"/>
    </w:rPr>
  </w:style>
  <w:style w:type="character" w:customStyle="1" w:styleId="Heading2Char">
    <w:name w:val="Heading 2 Char"/>
    <w:link w:val="Heading2"/>
    <w:semiHidden/>
    <w:rsid w:val="00835344"/>
    <w:rPr>
      <w:rFonts w:ascii="Cambria" w:eastAsia="Times New Roman" w:hAnsi="Cambria" w:cs="Times New Roman"/>
      <w:b/>
      <w:bCs/>
      <w:i/>
      <w:iCs/>
      <w:sz w:val="28"/>
      <w:szCs w:val="28"/>
    </w:rPr>
  </w:style>
  <w:style w:type="character" w:customStyle="1" w:styleId="Heading3Char">
    <w:name w:val="Heading 3 Char"/>
    <w:link w:val="Heading3"/>
    <w:rsid w:val="00835344"/>
    <w:rPr>
      <w:b/>
      <w:bCs/>
      <w:sz w:val="28"/>
      <w:szCs w:val="24"/>
      <w:lang w:val="en-ZA"/>
    </w:rPr>
  </w:style>
  <w:style w:type="numbering" w:customStyle="1" w:styleId="NoList1">
    <w:name w:val="No List1"/>
    <w:next w:val="NoList"/>
    <w:semiHidden/>
    <w:rsid w:val="00835344"/>
  </w:style>
  <w:style w:type="paragraph" w:styleId="EnvelopeAddress">
    <w:name w:val="envelope address"/>
    <w:basedOn w:val="Normal"/>
    <w:rsid w:val="00835344"/>
    <w:pPr>
      <w:framePr w:w="7920" w:h="1980" w:hRule="exact" w:hSpace="180" w:wrap="auto" w:hAnchor="page" w:xAlign="center" w:yAlign="bottom"/>
      <w:ind w:left="2880"/>
    </w:pPr>
    <w:rPr>
      <w:rFonts w:ascii="Calisto MT" w:hAnsi="Calisto MT" w:cs="Arial"/>
      <w:lang w:val="en-ZA"/>
    </w:rPr>
  </w:style>
  <w:style w:type="character" w:styleId="PageNumber">
    <w:name w:val="page number"/>
    <w:rsid w:val="00835344"/>
  </w:style>
  <w:style w:type="paragraph" w:styleId="FootnoteText">
    <w:name w:val="footnote text"/>
    <w:basedOn w:val="Normal"/>
    <w:link w:val="FootnoteTextChar"/>
    <w:rsid w:val="00835344"/>
    <w:rPr>
      <w:sz w:val="20"/>
      <w:szCs w:val="20"/>
      <w:lang w:val="en-GB" w:eastAsia="x-none"/>
    </w:rPr>
  </w:style>
  <w:style w:type="character" w:customStyle="1" w:styleId="FootnoteTextChar">
    <w:name w:val="Footnote Text Char"/>
    <w:link w:val="FootnoteText"/>
    <w:rsid w:val="00835344"/>
    <w:rPr>
      <w:lang w:val="en-GB"/>
    </w:rPr>
  </w:style>
  <w:style w:type="character" w:styleId="CommentReference">
    <w:name w:val="annotation reference"/>
    <w:uiPriority w:val="99"/>
    <w:rsid w:val="00835344"/>
    <w:rPr>
      <w:sz w:val="16"/>
      <w:szCs w:val="16"/>
    </w:rPr>
  </w:style>
  <w:style w:type="paragraph" w:styleId="CommentText">
    <w:name w:val="annotation text"/>
    <w:basedOn w:val="Normal"/>
    <w:link w:val="CommentTextChar"/>
    <w:uiPriority w:val="99"/>
    <w:rsid w:val="00835344"/>
    <w:rPr>
      <w:sz w:val="20"/>
      <w:szCs w:val="20"/>
    </w:rPr>
  </w:style>
  <w:style w:type="character" w:customStyle="1" w:styleId="CommentTextChar">
    <w:name w:val="Comment Text Char"/>
    <w:basedOn w:val="DefaultParagraphFont"/>
    <w:link w:val="CommentText"/>
    <w:uiPriority w:val="99"/>
    <w:rsid w:val="00835344"/>
  </w:style>
  <w:style w:type="character" w:styleId="FootnoteReference">
    <w:name w:val="footnote reference"/>
    <w:rsid w:val="00835344"/>
    <w:rPr>
      <w:vertAlign w:val="superscript"/>
    </w:rPr>
  </w:style>
  <w:style w:type="character" w:styleId="FollowedHyperlink">
    <w:name w:val="FollowedHyperlink"/>
    <w:rsid w:val="00835344"/>
    <w:rPr>
      <w:color w:val="800080"/>
      <w:u w:val="single"/>
    </w:rPr>
  </w:style>
  <w:style w:type="numbering" w:customStyle="1" w:styleId="NoList2">
    <w:name w:val="No List2"/>
    <w:next w:val="NoList"/>
    <w:semiHidden/>
    <w:rsid w:val="007B55D3"/>
  </w:style>
  <w:style w:type="table" w:styleId="TableGrid">
    <w:name w:val="Table Grid"/>
    <w:basedOn w:val="TableNormal"/>
    <w:rsid w:val="007B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Left0cm">
    <w:name w:val="Style Numbered Left:  0 cm"/>
    <w:basedOn w:val="NoList"/>
    <w:rsid w:val="007B55D3"/>
    <w:pPr>
      <w:numPr>
        <w:numId w:val="1"/>
      </w:numPr>
    </w:pPr>
  </w:style>
  <w:style w:type="numbering" w:customStyle="1" w:styleId="StyleOutlinenumberedLeft0cmHanging127cm">
    <w:name w:val="Style Outline numbered Left:  0 cm Hanging:  1.27 cm"/>
    <w:basedOn w:val="NoList"/>
    <w:rsid w:val="007B55D3"/>
    <w:pPr>
      <w:numPr>
        <w:numId w:val="2"/>
      </w:numPr>
    </w:pPr>
  </w:style>
  <w:style w:type="character" w:customStyle="1" w:styleId="BalloonTextChar">
    <w:name w:val="Balloon Text Char"/>
    <w:link w:val="BalloonText"/>
    <w:uiPriority w:val="99"/>
    <w:rsid w:val="007B55D3"/>
    <w:rPr>
      <w:rFonts w:ascii="Tahoma" w:hAnsi="Tahoma" w:cs="Tahoma"/>
      <w:sz w:val="16"/>
      <w:szCs w:val="16"/>
    </w:rPr>
  </w:style>
  <w:style w:type="paragraph" w:styleId="NormalWeb">
    <w:name w:val="Normal (Web)"/>
    <w:basedOn w:val="Normal"/>
    <w:uiPriority w:val="99"/>
    <w:unhideWhenUsed/>
    <w:rsid w:val="006D547A"/>
    <w:pPr>
      <w:spacing w:before="100" w:beforeAutospacing="1" w:after="100" w:afterAutospacing="1"/>
    </w:pPr>
    <w:rPr>
      <w:lang w:val="en-ZA" w:eastAsia="en-ZA"/>
    </w:rPr>
  </w:style>
  <w:style w:type="paragraph" w:styleId="PlainText">
    <w:name w:val="Plain Text"/>
    <w:basedOn w:val="Normal"/>
    <w:link w:val="PlainTextChar"/>
    <w:rsid w:val="000C2979"/>
    <w:rPr>
      <w:rFonts w:ascii="Arial" w:hAnsi="Arial"/>
      <w:sz w:val="22"/>
      <w:szCs w:val="22"/>
    </w:rPr>
  </w:style>
  <w:style w:type="character" w:customStyle="1" w:styleId="PlainTextChar">
    <w:name w:val="Plain Text Char"/>
    <w:link w:val="PlainText"/>
    <w:rsid w:val="000C2979"/>
    <w:rPr>
      <w:rFonts w:ascii="Arial" w:hAnsi="Arial" w:cs="Arial"/>
      <w:sz w:val="22"/>
      <w:szCs w:val="22"/>
      <w:lang w:val="en-US" w:eastAsia="en-US"/>
    </w:rPr>
  </w:style>
  <w:style w:type="table" w:customStyle="1" w:styleId="TableGrid1">
    <w:name w:val="Table Grid1"/>
    <w:basedOn w:val="TableNormal"/>
    <w:next w:val="TableGrid"/>
    <w:uiPriority w:val="59"/>
    <w:rsid w:val="004777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D044F"/>
  </w:style>
  <w:style w:type="table" w:customStyle="1" w:styleId="TableGrid2">
    <w:name w:val="Table Grid2"/>
    <w:basedOn w:val="TableNormal"/>
    <w:next w:val="TableGrid"/>
    <w:uiPriority w:val="59"/>
    <w:rsid w:val="001D044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D4999"/>
  </w:style>
  <w:style w:type="table" w:customStyle="1" w:styleId="TableGrid3">
    <w:name w:val="Table Grid3"/>
    <w:basedOn w:val="TableNormal"/>
    <w:next w:val="TableGrid"/>
    <w:uiPriority w:val="59"/>
    <w:rsid w:val="00BD49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0E8"/>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next w:val="Normal"/>
    <w:link w:val="TitleChar"/>
    <w:qFormat/>
    <w:rsid w:val="00E50108"/>
    <w:pPr>
      <w:spacing w:before="240" w:after="60"/>
      <w:jc w:val="center"/>
      <w:outlineLvl w:val="0"/>
    </w:pPr>
    <w:rPr>
      <w:rFonts w:asciiTheme="majorHAnsi" w:eastAsiaTheme="majorEastAsia" w:hAnsiTheme="majorHAnsi" w:cstheme="majorBidi"/>
      <w:b/>
      <w:bCs/>
      <w:kern w:val="28"/>
      <w:sz w:val="32"/>
      <w:szCs w:val="32"/>
      <w:lang w:val="en-ZA"/>
    </w:rPr>
  </w:style>
  <w:style w:type="character" w:customStyle="1" w:styleId="TitleChar">
    <w:name w:val="Title Char"/>
    <w:basedOn w:val="DefaultParagraphFont"/>
    <w:link w:val="Title"/>
    <w:rsid w:val="00E50108"/>
    <w:rPr>
      <w:rFonts w:asciiTheme="majorHAnsi" w:eastAsiaTheme="majorEastAsia" w:hAnsiTheme="majorHAnsi" w:cstheme="majorBidi"/>
      <w:b/>
      <w:bCs/>
      <w:kern w:val="28"/>
      <w:sz w:val="32"/>
      <w:szCs w:val="3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rsid w:val="000E16CC"/>
    <w:pPr>
      <w:spacing w:after="100"/>
    </w:pPr>
  </w:style>
  <w:style w:type="paragraph" w:styleId="TOC2">
    <w:name w:val="toc 2"/>
    <w:basedOn w:val="Normal"/>
    <w:next w:val="Normal"/>
    <w:autoRedefine/>
    <w:uiPriority w:val="39"/>
    <w:rsid w:val="000E16CC"/>
    <w:pPr>
      <w:spacing w:after="100"/>
      <w:ind w:left="240"/>
    </w:pPr>
  </w:style>
  <w:style w:type="paragraph" w:styleId="TOC3">
    <w:name w:val="toc 3"/>
    <w:basedOn w:val="Normal"/>
    <w:next w:val="Normal"/>
    <w:autoRedefine/>
    <w:uiPriority w:val="39"/>
    <w:rsid w:val="000E16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6954">
      <w:bodyDiv w:val="1"/>
      <w:marLeft w:val="0"/>
      <w:marRight w:val="0"/>
      <w:marTop w:val="0"/>
      <w:marBottom w:val="0"/>
      <w:divBdr>
        <w:top w:val="none" w:sz="0" w:space="0" w:color="auto"/>
        <w:left w:val="none" w:sz="0" w:space="0" w:color="auto"/>
        <w:bottom w:val="none" w:sz="0" w:space="0" w:color="auto"/>
        <w:right w:val="none" w:sz="0" w:space="0" w:color="auto"/>
      </w:divBdr>
      <w:divsChild>
        <w:div w:id="216086967">
          <w:marLeft w:val="965"/>
          <w:marRight w:val="0"/>
          <w:marTop w:val="86"/>
          <w:marBottom w:val="0"/>
          <w:divBdr>
            <w:top w:val="none" w:sz="0" w:space="0" w:color="auto"/>
            <w:left w:val="none" w:sz="0" w:space="0" w:color="auto"/>
            <w:bottom w:val="none" w:sz="0" w:space="0" w:color="auto"/>
            <w:right w:val="none" w:sz="0" w:space="0" w:color="auto"/>
          </w:divBdr>
        </w:div>
        <w:div w:id="383136599">
          <w:marLeft w:val="965"/>
          <w:marRight w:val="0"/>
          <w:marTop w:val="86"/>
          <w:marBottom w:val="0"/>
          <w:divBdr>
            <w:top w:val="none" w:sz="0" w:space="0" w:color="auto"/>
            <w:left w:val="none" w:sz="0" w:space="0" w:color="auto"/>
            <w:bottom w:val="none" w:sz="0" w:space="0" w:color="auto"/>
            <w:right w:val="none" w:sz="0" w:space="0" w:color="auto"/>
          </w:divBdr>
        </w:div>
        <w:div w:id="802043714">
          <w:marLeft w:val="965"/>
          <w:marRight w:val="0"/>
          <w:marTop w:val="86"/>
          <w:marBottom w:val="0"/>
          <w:divBdr>
            <w:top w:val="none" w:sz="0" w:space="0" w:color="auto"/>
            <w:left w:val="none" w:sz="0" w:space="0" w:color="auto"/>
            <w:bottom w:val="none" w:sz="0" w:space="0" w:color="auto"/>
            <w:right w:val="none" w:sz="0" w:space="0" w:color="auto"/>
          </w:divBdr>
        </w:div>
        <w:div w:id="841236455">
          <w:marLeft w:val="965"/>
          <w:marRight w:val="0"/>
          <w:marTop w:val="86"/>
          <w:marBottom w:val="0"/>
          <w:divBdr>
            <w:top w:val="none" w:sz="0" w:space="0" w:color="auto"/>
            <w:left w:val="none" w:sz="0" w:space="0" w:color="auto"/>
            <w:bottom w:val="none" w:sz="0" w:space="0" w:color="auto"/>
            <w:right w:val="none" w:sz="0" w:space="0" w:color="auto"/>
          </w:divBdr>
        </w:div>
        <w:div w:id="989869982">
          <w:marLeft w:val="965"/>
          <w:marRight w:val="0"/>
          <w:marTop w:val="86"/>
          <w:marBottom w:val="0"/>
          <w:divBdr>
            <w:top w:val="none" w:sz="0" w:space="0" w:color="auto"/>
            <w:left w:val="none" w:sz="0" w:space="0" w:color="auto"/>
            <w:bottom w:val="none" w:sz="0" w:space="0" w:color="auto"/>
            <w:right w:val="none" w:sz="0" w:space="0" w:color="auto"/>
          </w:divBdr>
        </w:div>
      </w:divsChild>
    </w:div>
    <w:div w:id="163015776">
      <w:bodyDiv w:val="1"/>
      <w:marLeft w:val="0"/>
      <w:marRight w:val="0"/>
      <w:marTop w:val="0"/>
      <w:marBottom w:val="0"/>
      <w:divBdr>
        <w:top w:val="none" w:sz="0" w:space="0" w:color="auto"/>
        <w:left w:val="none" w:sz="0" w:space="0" w:color="auto"/>
        <w:bottom w:val="none" w:sz="0" w:space="0" w:color="auto"/>
        <w:right w:val="none" w:sz="0" w:space="0" w:color="auto"/>
      </w:divBdr>
    </w:div>
    <w:div w:id="171799629">
      <w:bodyDiv w:val="1"/>
      <w:marLeft w:val="0"/>
      <w:marRight w:val="0"/>
      <w:marTop w:val="0"/>
      <w:marBottom w:val="0"/>
      <w:divBdr>
        <w:top w:val="none" w:sz="0" w:space="0" w:color="auto"/>
        <w:left w:val="none" w:sz="0" w:space="0" w:color="auto"/>
        <w:bottom w:val="none" w:sz="0" w:space="0" w:color="auto"/>
        <w:right w:val="none" w:sz="0" w:space="0" w:color="auto"/>
      </w:divBdr>
    </w:div>
    <w:div w:id="232205135">
      <w:bodyDiv w:val="1"/>
      <w:marLeft w:val="0"/>
      <w:marRight w:val="0"/>
      <w:marTop w:val="0"/>
      <w:marBottom w:val="0"/>
      <w:divBdr>
        <w:top w:val="none" w:sz="0" w:space="0" w:color="auto"/>
        <w:left w:val="none" w:sz="0" w:space="0" w:color="auto"/>
        <w:bottom w:val="none" w:sz="0" w:space="0" w:color="auto"/>
        <w:right w:val="none" w:sz="0" w:space="0" w:color="auto"/>
      </w:divBdr>
    </w:div>
    <w:div w:id="299069662">
      <w:bodyDiv w:val="1"/>
      <w:marLeft w:val="0"/>
      <w:marRight w:val="0"/>
      <w:marTop w:val="0"/>
      <w:marBottom w:val="0"/>
      <w:divBdr>
        <w:top w:val="none" w:sz="0" w:space="0" w:color="auto"/>
        <w:left w:val="none" w:sz="0" w:space="0" w:color="auto"/>
        <w:bottom w:val="none" w:sz="0" w:space="0" w:color="auto"/>
        <w:right w:val="none" w:sz="0" w:space="0" w:color="auto"/>
      </w:divBdr>
    </w:div>
    <w:div w:id="347951944">
      <w:bodyDiv w:val="1"/>
      <w:marLeft w:val="0"/>
      <w:marRight w:val="0"/>
      <w:marTop w:val="0"/>
      <w:marBottom w:val="0"/>
      <w:divBdr>
        <w:top w:val="none" w:sz="0" w:space="0" w:color="auto"/>
        <w:left w:val="none" w:sz="0" w:space="0" w:color="auto"/>
        <w:bottom w:val="none" w:sz="0" w:space="0" w:color="auto"/>
        <w:right w:val="none" w:sz="0" w:space="0" w:color="auto"/>
      </w:divBdr>
    </w:div>
    <w:div w:id="473723088">
      <w:bodyDiv w:val="1"/>
      <w:marLeft w:val="0"/>
      <w:marRight w:val="0"/>
      <w:marTop w:val="0"/>
      <w:marBottom w:val="0"/>
      <w:divBdr>
        <w:top w:val="none" w:sz="0" w:space="0" w:color="auto"/>
        <w:left w:val="none" w:sz="0" w:space="0" w:color="auto"/>
        <w:bottom w:val="none" w:sz="0" w:space="0" w:color="auto"/>
        <w:right w:val="none" w:sz="0" w:space="0" w:color="auto"/>
      </w:divBdr>
    </w:div>
    <w:div w:id="476340490">
      <w:bodyDiv w:val="1"/>
      <w:marLeft w:val="0"/>
      <w:marRight w:val="0"/>
      <w:marTop w:val="0"/>
      <w:marBottom w:val="0"/>
      <w:divBdr>
        <w:top w:val="none" w:sz="0" w:space="0" w:color="auto"/>
        <w:left w:val="none" w:sz="0" w:space="0" w:color="auto"/>
        <w:bottom w:val="none" w:sz="0" w:space="0" w:color="auto"/>
        <w:right w:val="none" w:sz="0" w:space="0" w:color="auto"/>
      </w:divBdr>
    </w:div>
    <w:div w:id="584843968">
      <w:bodyDiv w:val="1"/>
      <w:marLeft w:val="0"/>
      <w:marRight w:val="0"/>
      <w:marTop w:val="0"/>
      <w:marBottom w:val="0"/>
      <w:divBdr>
        <w:top w:val="none" w:sz="0" w:space="0" w:color="auto"/>
        <w:left w:val="none" w:sz="0" w:space="0" w:color="auto"/>
        <w:bottom w:val="none" w:sz="0" w:space="0" w:color="auto"/>
        <w:right w:val="none" w:sz="0" w:space="0" w:color="auto"/>
      </w:divBdr>
    </w:div>
    <w:div w:id="595408414">
      <w:bodyDiv w:val="1"/>
      <w:marLeft w:val="0"/>
      <w:marRight w:val="0"/>
      <w:marTop w:val="0"/>
      <w:marBottom w:val="0"/>
      <w:divBdr>
        <w:top w:val="none" w:sz="0" w:space="0" w:color="auto"/>
        <w:left w:val="none" w:sz="0" w:space="0" w:color="auto"/>
        <w:bottom w:val="none" w:sz="0" w:space="0" w:color="auto"/>
        <w:right w:val="none" w:sz="0" w:space="0" w:color="auto"/>
      </w:divBdr>
    </w:div>
    <w:div w:id="621158125">
      <w:bodyDiv w:val="1"/>
      <w:marLeft w:val="0"/>
      <w:marRight w:val="0"/>
      <w:marTop w:val="0"/>
      <w:marBottom w:val="0"/>
      <w:divBdr>
        <w:top w:val="none" w:sz="0" w:space="0" w:color="auto"/>
        <w:left w:val="none" w:sz="0" w:space="0" w:color="auto"/>
        <w:bottom w:val="none" w:sz="0" w:space="0" w:color="auto"/>
        <w:right w:val="none" w:sz="0" w:space="0" w:color="auto"/>
      </w:divBdr>
    </w:div>
    <w:div w:id="690377748">
      <w:bodyDiv w:val="1"/>
      <w:marLeft w:val="0"/>
      <w:marRight w:val="0"/>
      <w:marTop w:val="0"/>
      <w:marBottom w:val="0"/>
      <w:divBdr>
        <w:top w:val="none" w:sz="0" w:space="0" w:color="auto"/>
        <w:left w:val="none" w:sz="0" w:space="0" w:color="auto"/>
        <w:bottom w:val="none" w:sz="0" w:space="0" w:color="auto"/>
        <w:right w:val="none" w:sz="0" w:space="0" w:color="auto"/>
      </w:divBdr>
    </w:div>
    <w:div w:id="742679056">
      <w:bodyDiv w:val="1"/>
      <w:marLeft w:val="0"/>
      <w:marRight w:val="0"/>
      <w:marTop w:val="0"/>
      <w:marBottom w:val="0"/>
      <w:divBdr>
        <w:top w:val="none" w:sz="0" w:space="0" w:color="auto"/>
        <w:left w:val="none" w:sz="0" w:space="0" w:color="auto"/>
        <w:bottom w:val="none" w:sz="0" w:space="0" w:color="auto"/>
        <w:right w:val="none" w:sz="0" w:space="0" w:color="auto"/>
      </w:divBdr>
    </w:div>
    <w:div w:id="899100334">
      <w:bodyDiv w:val="1"/>
      <w:marLeft w:val="0"/>
      <w:marRight w:val="0"/>
      <w:marTop w:val="0"/>
      <w:marBottom w:val="0"/>
      <w:divBdr>
        <w:top w:val="none" w:sz="0" w:space="0" w:color="auto"/>
        <w:left w:val="none" w:sz="0" w:space="0" w:color="auto"/>
        <w:bottom w:val="none" w:sz="0" w:space="0" w:color="auto"/>
        <w:right w:val="none" w:sz="0" w:space="0" w:color="auto"/>
      </w:divBdr>
    </w:div>
    <w:div w:id="1290361231">
      <w:bodyDiv w:val="1"/>
      <w:marLeft w:val="0"/>
      <w:marRight w:val="0"/>
      <w:marTop w:val="0"/>
      <w:marBottom w:val="0"/>
      <w:divBdr>
        <w:top w:val="none" w:sz="0" w:space="0" w:color="auto"/>
        <w:left w:val="none" w:sz="0" w:space="0" w:color="auto"/>
        <w:bottom w:val="none" w:sz="0" w:space="0" w:color="auto"/>
        <w:right w:val="none" w:sz="0" w:space="0" w:color="auto"/>
      </w:divBdr>
    </w:div>
    <w:div w:id="1572538166">
      <w:bodyDiv w:val="1"/>
      <w:marLeft w:val="0"/>
      <w:marRight w:val="0"/>
      <w:marTop w:val="0"/>
      <w:marBottom w:val="0"/>
      <w:divBdr>
        <w:top w:val="none" w:sz="0" w:space="0" w:color="auto"/>
        <w:left w:val="none" w:sz="0" w:space="0" w:color="auto"/>
        <w:bottom w:val="none" w:sz="0" w:space="0" w:color="auto"/>
        <w:right w:val="none" w:sz="0" w:space="0" w:color="auto"/>
      </w:divBdr>
    </w:div>
    <w:div w:id="1599172847">
      <w:bodyDiv w:val="1"/>
      <w:marLeft w:val="0"/>
      <w:marRight w:val="0"/>
      <w:marTop w:val="0"/>
      <w:marBottom w:val="0"/>
      <w:divBdr>
        <w:top w:val="none" w:sz="0" w:space="0" w:color="auto"/>
        <w:left w:val="none" w:sz="0" w:space="0" w:color="auto"/>
        <w:bottom w:val="none" w:sz="0" w:space="0" w:color="auto"/>
        <w:right w:val="none" w:sz="0" w:space="0" w:color="auto"/>
      </w:divBdr>
    </w:div>
    <w:div w:id="1700548756">
      <w:bodyDiv w:val="1"/>
      <w:marLeft w:val="0"/>
      <w:marRight w:val="0"/>
      <w:marTop w:val="0"/>
      <w:marBottom w:val="0"/>
      <w:divBdr>
        <w:top w:val="none" w:sz="0" w:space="0" w:color="auto"/>
        <w:left w:val="none" w:sz="0" w:space="0" w:color="auto"/>
        <w:bottom w:val="none" w:sz="0" w:space="0" w:color="auto"/>
        <w:right w:val="none" w:sz="0" w:space="0" w:color="auto"/>
      </w:divBdr>
    </w:div>
    <w:div w:id="1710642681">
      <w:bodyDiv w:val="1"/>
      <w:marLeft w:val="0"/>
      <w:marRight w:val="0"/>
      <w:marTop w:val="0"/>
      <w:marBottom w:val="0"/>
      <w:divBdr>
        <w:top w:val="none" w:sz="0" w:space="0" w:color="auto"/>
        <w:left w:val="none" w:sz="0" w:space="0" w:color="auto"/>
        <w:bottom w:val="none" w:sz="0" w:space="0" w:color="auto"/>
        <w:right w:val="none" w:sz="0" w:space="0" w:color="auto"/>
      </w:divBdr>
    </w:div>
    <w:div w:id="1769813663">
      <w:bodyDiv w:val="1"/>
      <w:marLeft w:val="0"/>
      <w:marRight w:val="0"/>
      <w:marTop w:val="0"/>
      <w:marBottom w:val="0"/>
      <w:divBdr>
        <w:top w:val="none" w:sz="0" w:space="0" w:color="auto"/>
        <w:left w:val="none" w:sz="0" w:space="0" w:color="auto"/>
        <w:bottom w:val="none" w:sz="0" w:space="0" w:color="auto"/>
        <w:right w:val="none" w:sz="0" w:space="0" w:color="auto"/>
      </w:divBdr>
    </w:div>
    <w:div w:id="1894000240">
      <w:bodyDiv w:val="1"/>
      <w:marLeft w:val="0"/>
      <w:marRight w:val="0"/>
      <w:marTop w:val="0"/>
      <w:marBottom w:val="0"/>
      <w:divBdr>
        <w:top w:val="none" w:sz="0" w:space="0" w:color="auto"/>
        <w:left w:val="none" w:sz="0" w:space="0" w:color="auto"/>
        <w:bottom w:val="none" w:sz="0" w:space="0" w:color="auto"/>
        <w:right w:val="none" w:sz="0" w:space="0" w:color="auto"/>
      </w:divBdr>
    </w:div>
    <w:div w:id="2095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8" Target="media/rId58.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55" Target="mailto:macarthur2001;@jackson2010" TargetMode="External" /></Relationships>
</file>

<file path=word/_rels/footnotes.xml.rels><?xml version="1.0" encoding="UTF-8"?>
<Relationships xmlns="http://schemas.openxmlformats.org/package/2006/relationships"><Relationship Type="http://schemas.openxmlformats.org/officeDocument/2006/relationships/hyperlink" Id="rId55" Target="mailto:macarthur2001;@jackson2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10686</Words>
  <Characters>60914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University of the Witwatersrand</Company>
  <LinksUpToDate>false</LinksUpToDate>
  <CharactersWithSpaces>71458</CharactersWithSpaces>
  <SharedDoc>false</SharedDoc>
  <HLinks>
    <vt:vector size="6" baseType="variant">
      <vt:variant>
        <vt:i4>6291581</vt:i4>
      </vt:variant>
      <vt:variant>
        <vt:i4>0</vt:i4>
      </vt:variant>
      <vt:variant>
        <vt:i4>0</vt:i4>
      </vt:variant>
      <vt:variant>
        <vt:i4>5</vt:i4>
      </vt:variant>
      <vt:variant>
        <vt:lpwstr>http://innopac.wits.ac.za/search~S0?/Xenglish+oxford+dictionary&amp;SORT=DZ/Xenglish+oxford+dictionary&amp;SORT=DZ&amp;extended=0&amp;SUBKEY=english%20oxford%20dictionary/1%2C99%2C99%2CB/frameset&amp;FF=Xenglish+oxford+dictionary&amp;SORT=DZ&amp;6%2C6%2C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Africa:Development of a 3D spectral numerical coastal-flow model</dc:title>
  <dc:creator>RM Coppin; C Rautenbach; AJ Smit</dc:creator>
  <cp:keywords/>
  <dcterms:created xsi:type="dcterms:W3CDTF">2019-11-07T15:23:10Z</dcterms:created>
  <dcterms:modified xsi:type="dcterms:W3CDTF">2019-11-07T15:23:10Z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