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the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Given kelps are cool/temperate organisms which are vulernable to dislodgment under high wave exposure scenarios, changes in ocean temperature and an increase in storm frequency and magnitude pose the biggest direct threats to their survival. Warmer temperatures reduces the resilience of kelp individuals to perbutations</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w:t>
      </w:r>
    </w:p>
    <w:p>
      <w:pPr>
        <w:pStyle w:val="BodyText"/>
      </w:pPr>
      <w:r>
        <w:t xml:space="preserve">Although other factors play a role in kelp morphological adaptation, wave exposure and temperature have been identified as the main drivers of morphological adaptation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Temperature affects important kelp physiological processes such as photosynthesis and respiration, which ultimately influences growth and productivity resulting in reduced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is exposed to variations in wind driven surface waves, swell and temperature, while</w:t>
      </w:r>
      <w:r>
        <w:t xml:space="preserve"> </w:t>
      </w:r>
      <w:r>
        <w:rPr>
          <w:i/>
        </w:rPr>
        <w:t xml:space="preserve">L. pallida</w:t>
      </w:r>
      <w:r>
        <w:t xml:space="preserve"> </w:t>
      </w:r>
      <w:r>
        <w:t xml:space="preserve">is exposed to variations in swell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in relation to light attenuation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current studies have identified specific wave metrics in driving kelp morphological charactersitcs using advanced numerical model, which the current work will aim to achieve. Other considerations such as possible differences in morphology between sub-canopy and canopy species, shallow and deep water populations have not been considered using advanced numerical and statisical tools. The aim of this study is, therefore, to understand how temperature and wave exposure can influence the morphology in two species of kelps around South Africa,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figure</w:t>
      </w:r>
      <w:r>
        <w:t xml:space="preserve"> </w:t>
      </w:r>
      <w:r>
        <w:t xml:space="preserve">. St. Helena Bay and Betty’s Bay constituted the north western and south eastern boundary sites, respectively. These sites are roughly 300 km apart, lie within separate marine provinces, and span across the majority of the south-west coast, in varying thermal and wave energy regimes. The region is dominated by kelp communities that persist in contrasting abiotic environments. The west coast region has been termed as a cool temperate,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 region</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 rich water to coastal areas and therefore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figure</w:t>
      </w:r>
      <w:r>
        <w:t xml:space="preserve"> </w:t>
      </w:r>
      <w:r>
        <w:t xml:space="preserve">A,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alck dots, maximum by black triangle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balck dots, maximum by black triangles,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 These wave heights and their variability are modulated by the relative sheltering against the predominant south-westerly swell direction and the size of the fetch for local wave generation.</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CaptionedFigure"/>
      </w:pPr>
      <w:r>
        <w:drawing>
          <wp:inline>
            <wp:extent cx="4620126" cy="3696101"/>
            <wp:effectExtent b="0" l="0" r="0" t="0"/>
            <wp:docPr descr="Wave rose figure"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rose figure</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CaptionedFigure"/>
      </w:pPr>
      <w:r>
        <w:drawing>
          <wp:inline>
            <wp:extent cx="4620126" cy="3696101"/>
            <wp:effectExtent b="0" l="0" r="0" t="0"/>
            <wp:docPr descr="Wave power map"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power map</w:t>
      </w:r>
    </w:p>
    <w:p>
      <w:pPr>
        <w:pStyle w:val="BodyText"/>
      </w:pPr>
      <w:r>
        <w:t xml:space="preserve">In Figure 5 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False Bay wave spectrum"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False Bay wave spectrum</w:t>
      </w:r>
    </w:p>
    <w:p>
      <w:pPr>
        <w:pStyle w:val="BodyText"/>
      </w:pPr>
      <w:r>
        <w:t xml:space="preserve">To clarify the averaged wave exposure maps presented,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61976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61976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(see figure</w:t>
      </w:r>
      <w:r>
        <w:t xml:space="preserve"> </w:t>
      </w:r>
      <w:r>
        <w:t xml:space="preserve">.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w:t>
      </w:r>
      <w:r>
        <w:t xml:space="preserve"> </w:t>
      </w:r>
      <w:r>
        <w:t xml:space="preserve">The directional sheltering effect of the Cape Peninsula, against the dominant swell direction is clearly observed in the wave exposures presented in figure</w:t>
      </w:r>
      <w:r>
        <w:t xml:space="preserve"> </w:t>
      </w:r>
      <w:r>
        <w:t xml:space="preserve">.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significant swell height and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in the warm-temperate compared to kelp in the cool-temperate.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higher exposure levels</w:t>
      </w:r>
      <w:r>
        <w:t xml:space="preserve"> </w:t>
      </w:r>
      <w:r>
        <w:t xml:space="preserve">(Denny and Gaylord 2002; Denny, Gaylord, and Cowen 1997)</w:t>
      </w:r>
      <w:r>
        <w:t xml:space="preserve">.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w:t>
      </w:r>
    </w:p>
    <w:p>
      <w:pPr>
        <w:pStyle w:val="BodyText"/>
      </w:pPr>
      <w:r>
        <w:t xml:space="preserve">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at sites where wave energy is low enough not to elecit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 The identification of maximum temperature as a driver of kelp morphological characteristics may be due heating of shallow coastal waters due to solar heating.</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adpatation is dependent on the magnitude of wave exposure, but provides quantitative, reproducible measure of wave exposure while identifying the specific wave metrics and wave energy thresholds invloved.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storms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50"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6"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6"/>
    <w:bookmarkStart w:id="127"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7"/>
    <w:bookmarkStart w:id="128"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28"/>
    <w:bookmarkStart w:id="129"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29"/>
    <w:bookmarkStart w:id="130" w:name="ref-Shipley1964"/>
    <w:p>
      <w:pPr>
        <w:pStyle w:val="Bibliography"/>
      </w:pPr>
      <w:r>
        <w:t xml:space="preserve">Shipley, A.M. 1964. “Some aspects of wave refraction in False Bay.”</w:t>
      </w:r>
      <w:r>
        <w:t xml:space="preserve"> </w:t>
      </w:r>
      <w:r>
        <w:rPr>
          <w:i/>
        </w:rPr>
        <w:t xml:space="preserve">South African Journal of Science</w:t>
      </w:r>
      <w:r>
        <w:t xml:space="preserve"> </w:t>
      </w:r>
      <w:r>
        <w:t xml:space="preserve">60 (6): 115–20.</w:t>
      </w:r>
    </w:p>
    <w:bookmarkEnd w:id="130"/>
    <w:bookmarkStart w:id="131"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1"/>
    <w:bookmarkStart w:id="13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2">
        <w:r>
          <w:rPr>
            <w:rStyle w:val="Hyperlink"/>
          </w:rPr>
          <w:t xml:space="preserve">https://doi.org/10.1371/journal.pone.0081944</w:t>
        </w:r>
      </w:hyperlink>
      <w:r>
        <w:t xml:space="preserve">.</w:t>
      </w:r>
    </w:p>
    <w:bookmarkEnd w:id="133"/>
    <w:bookmarkStart w:id="135"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34">
        <w:r>
          <w:rPr>
            <w:rStyle w:val="Hyperlink"/>
          </w:rPr>
          <w:t xml:space="preserve">https://doi.org/10.1017/S0376892902000322</w:t>
        </w:r>
      </w:hyperlink>
      <w:r>
        <w:t xml:space="preserve">.</w:t>
      </w:r>
    </w:p>
    <w:bookmarkEnd w:id="135"/>
    <w:bookmarkStart w:id="137"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36">
        <w:r>
          <w:rPr>
            <w:rStyle w:val="Hyperlink"/>
          </w:rPr>
          <w:t xml:space="preserve">https://doi.org/10.3354/meps07752</w:t>
        </w:r>
      </w:hyperlink>
      <w:r>
        <w:t xml:space="preserve">.</w:t>
      </w:r>
    </w:p>
    <w:bookmarkEnd w:id="137"/>
    <w:bookmarkStart w:id="138"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38"/>
    <w:bookmarkStart w:id="139"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39"/>
    <w:bookmarkStart w:id="140"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0"/>
    <w:bookmarkStart w:id="141"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41"/>
    <w:bookmarkStart w:id="143"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2">
        <w:r>
          <w:rPr>
            <w:rStyle w:val="Hyperlink"/>
          </w:rPr>
          <w:t xml:space="preserve">https://doi.org/10.1016/j.ecss.2007.07.008</w:t>
        </w:r>
      </w:hyperlink>
      <w:r>
        <w:t xml:space="preserve">.</w:t>
      </w:r>
    </w:p>
    <w:bookmarkEnd w:id="143"/>
    <w:bookmarkStart w:id="144"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44"/>
    <w:bookmarkStart w:id="146"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45">
        <w:r>
          <w:rPr>
            <w:rStyle w:val="Hyperlink"/>
          </w:rPr>
          <w:t xml:space="preserve">https://doi.org/10.1016/j.aquabot.2005.05.007</w:t>
        </w:r>
      </w:hyperlink>
      <w:r>
        <w:t xml:space="preserve">.</w:t>
      </w:r>
    </w:p>
    <w:bookmarkEnd w:id="146"/>
    <w:bookmarkStart w:id="147"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47"/>
    <w:bookmarkStart w:id="148"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48"/>
    <w:bookmarkStart w:id="149"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49"/>
    <w:bookmarkEnd w:id="150"/>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5" Target="https://doi.org/10.1016/j.aquabot.2005.05.007" TargetMode="External" /><Relationship Type="http://schemas.openxmlformats.org/officeDocument/2006/relationships/hyperlink" Id="rId142" Target="https://doi.org/10.1016/j.ecss.2007.07.008" TargetMode="External" /><Relationship Type="http://schemas.openxmlformats.org/officeDocument/2006/relationships/hyperlink" Id="rId13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lt;1300:IWABCK&gt;2.0.CO;2" TargetMode="External" /><Relationship Type="http://schemas.openxmlformats.org/officeDocument/2006/relationships/hyperlink" Id="rId132" Target="https://doi.org/10.1371/journal.pone.0081944" TargetMode="External" /><Relationship Type="http://schemas.openxmlformats.org/officeDocument/2006/relationships/hyperlink" Id="rId110" Target="https://doi.org/10.1515/BOT.2000.036" TargetMode="External" /><Relationship Type="http://schemas.openxmlformats.org/officeDocument/2006/relationships/hyperlink" Id="rId13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5" Target="https://doi.org/10.1016/j.aquabot.2005.05.007" TargetMode="External" /><Relationship Type="http://schemas.openxmlformats.org/officeDocument/2006/relationships/hyperlink" Id="rId142" Target="https://doi.org/10.1016/j.ecss.2007.07.008" TargetMode="External" /><Relationship Type="http://schemas.openxmlformats.org/officeDocument/2006/relationships/hyperlink" Id="rId13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lt;1300:IWABCK&gt;2.0.CO;2" TargetMode="External" /><Relationship Type="http://schemas.openxmlformats.org/officeDocument/2006/relationships/hyperlink" Id="rId132" Target="https://doi.org/10.1371/journal.pone.0081944" TargetMode="External" /><Relationship Type="http://schemas.openxmlformats.org/officeDocument/2006/relationships/hyperlink" Id="rId110" Target="https://doi.org/10.1515/BOT.2000.036" TargetMode="External" /><Relationship Type="http://schemas.openxmlformats.org/officeDocument/2006/relationships/hyperlink" Id="rId13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2019-10-07T09:04:07Z</dcterms:created>
  <dcterms:modified xsi:type="dcterms:W3CDTF">2019-10-07T09:04:07Z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