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morphological</w:t>
      </w:r>
      <w:r>
        <w:t xml:space="preserve"> </w:t>
      </w:r>
      <w:r>
        <w:t xml:space="preserve">characteristics</w:t>
      </w:r>
      <w:r>
        <w:t xml:space="preserve"> </w:t>
      </w:r>
      <w:r>
        <w:t xml:space="preserve">of</w:t>
      </w:r>
      <w:r>
        <w:t xml:space="preserve"> </w:t>
      </w:r>
      <w:r>
        <w:t xml:space="preserve">the</w:t>
      </w:r>
      <w:r>
        <w:t xml:space="preserve"> </w:t>
      </w:r>
      <w:r>
        <w:t xml:space="preserve">kelps,</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n.d.;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6197600" cy="6197600"/>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SourceCode"/>
      </w:pPr>
      <w:r>
        <w:rPr>
          <w:rStyle w:val="VerbatimChar"/>
        </w:rPr>
        <w:t xml:space="preserve">## Warning: package 'jpeg' was built under R version 3.6.1</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 figure</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Total (A), Austral winter (B) and Austral summer (C)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Total (A), Austral winter (B) and Austral summer (C)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Total (A), summer (B), winter (C), spring (D) and autumn (E)."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Total (A), summer (B), winter (C), spring (D) and autumn (E).</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w:t>
      </w:r>
      <w:r>
        <w:rPr>
          <w:b/>
        </w:rPr>
        <w:t xml:space="preserve">???</w:t>
      </w:r>
      <w:r>
        <w:t xml:space="preserve">)</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purbutation,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Nino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kelp, and ideally, given a specific set of morphological measures. These types of studies in conjunction with forecasting studies can be used to determine the vulnerability of kelp populations to future climate scenarios.</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Funding number is CSRP170430229220</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3" w:name="refs"/>
    <w:bookmarkStart w:id="61" w:name="ref-anderson1997"/>
    <w:p>
      <w:pPr>
        <w:pStyle w:val="Bibliography"/>
      </w:pPr>
      <w:r>
        <w:t xml:space="preserve">Anderson, RJ, P Carrick, GJ Levitt, and A Share. 1997. “Holdfasts of Adult Kelp</w:t>
      </w:r>
      <w:r>
        <w:t xml:space="preserve"> </w:t>
      </w:r>
      <w:r>
        <w:rPr>
          <w:i/>
        </w:rPr>
        <w:t xml:space="preserve">Ecklonia Maxima</w:t>
      </w:r>
      <w:r>
        <w:t xml:space="preserve"> </w:t>
      </w:r>
      <w:r>
        <w:t xml:space="preserve">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r>
        <w:t xml:space="preserve"> </w:t>
      </w:r>
      <w:r>
        <w:rPr>
          <w:i/>
        </w:rPr>
        <w:t xml:space="preserve">Ecological Applications</w:t>
      </w:r>
      <w:r>
        <w:t xml:space="preserve">.</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8"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8"/>
    <w:bookmarkStart w:id="100"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9">
        <w:r>
          <w:rPr>
            <w:rStyle w:val="Hyperlink"/>
          </w:rPr>
          <w:t xml:space="preserve">https://doi.org/10.1111/j.1529-8817.2012.01224.x</w:t>
        </w:r>
      </w:hyperlink>
      <w:r>
        <w:t xml:space="preserve">.</w:t>
      </w:r>
    </w:p>
    <w:bookmarkEnd w:id="100"/>
    <w:bookmarkStart w:id="101"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1"/>
    <w:bookmarkStart w:id="102"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2"/>
    <w:bookmarkStart w:id="104"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3">
        <w:r>
          <w:rPr>
            <w:rStyle w:val="Hyperlink"/>
          </w:rPr>
          <w:t xml:space="preserve">https://doi.org/10.1175/1520-0485(1984)014&lt;1300:IWABCK&gt;2.0.CO;2</w:t>
        </w:r>
      </w:hyperlink>
      <w:r>
        <w:t xml:space="preserve">.</w:t>
      </w:r>
    </w:p>
    <w:bookmarkEnd w:id="104"/>
    <w:bookmarkStart w:id="105" w:name="ref-Jury1980-ov"/>
    <w:p>
      <w:pPr>
        <w:pStyle w:val="Bibliography"/>
      </w:pPr>
      <w:r>
        <w:t xml:space="preserve">Jury, Mark R. 1980. “Characteristics of summer wind fields and air sea interactions over the Cape Peninsula upwelling region.”</w:t>
      </w:r>
    </w:p>
    <w:bookmarkEnd w:id="105"/>
    <w:bookmarkStart w:id="106"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6"/>
    <w:bookmarkStart w:id="107"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7"/>
    <w:bookmarkStart w:id="108"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8"/>
    <w:bookmarkStart w:id="110"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9">
        <w:r>
          <w:rPr>
            <w:rStyle w:val="Hyperlink"/>
          </w:rPr>
          <w:t xml:space="preserve">https://doi.org/10.3354/meps09940</w:t>
        </w:r>
      </w:hyperlink>
      <w:r>
        <w:t xml:space="preserve">.</w:t>
      </w:r>
    </w:p>
    <w:bookmarkEnd w:id="110"/>
    <w:bookmarkStart w:id="112"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1">
        <w:r>
          <w:rPr>
            <w:rStyle w:val="Hyperlink"/>
          </w:rPr>
          <w:t xml:space="preserve">https://doi.org/10.1515/BOT.2000.036</w:t>
        </w:r>
      </w:hyperlink>
      <w:r>
        <w:t xml:space="preserve">.</w:t>
      </w:r>
    </w:p>
    <w:bookmarkEnd w:id="112"/>
    <w:bookmarkStart w:id="113"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3"/>
    <w:bookmarkStart w:id="114"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4"/>
    <w:bookmarkStart w:id="116"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5">
        <w:r>
          <w:rPr>
            <w:rStyle w:val="Hyperlink"/>
          </w:rPr>
          <w:t xml:space="preserve">http://www.int-res.com/abstracts/meps/v483/p117-131</w:t>
        </w:r>
      </w:hyperlink>
      <w:r>
        <w:t xml:space="preserve">.</w:t>
      </w:r>
    </w:p>
    <w:bookmarkEnd w:id="116"/>
    <w:bookmarkStart w:id="117"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7"/>
    <w:bookmarkStart w:id="118"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8"/>
    <w:bookmarkStart w:id="119"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9"/>
    <w:bookmarkStart w:id="120"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20"/>
    <w:bookmarkStart w:id="121"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1"/>
    <w:bookmarkStart w:id="122"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2"/>
    <w:bookmarkStart w:id="123"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3"/>
    <w:bookmarkStart w:id="124"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4"/>
    <w:bookmarkStart w:id="125"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5"/>
    <w:bookmarkStart w:id="126"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6"/>
    <w:bookmarkStart w:id="127"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7"/>
    <w:bookmarkStart w:id="128"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8"/>
    <w:bookmarkStart w:id="130"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9">
        <w:r>
          <w:rPr>
            <w:rStyle w:val="Hyperlink"/>
          </w:rPr>
          <w:t xml:space="preserve">https://doi.org/10.1371/journal.pone.0100222</w:t>
        </w:r>
      </w:hyperlink>
      <w:r>
        <w:t xml:space="preserve">.</w:t>
      </w:r>
    </w:p>
    <w:bookmarkEnd w:id="130"/>
    <w:bookmarkStart w:id="131"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1"/>
    <w:bookmarkStart w:id="132"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2"/>
    <w:bookmarkStart w:id="133"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3"/>
    <w:bookmarkStart w:id="134"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4"/>
    <w:bookmarkStart w:id="135"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5"/>
    <w:bookmarkStart w:id="136"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6"/>
    <w:bookmarkStart w:id="137"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7"/>
    <w:bookmarkStart w:id="138"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8"/>
    <w:bookmarkStart w:id="139"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9"/>
    <w:bookmarkStart w:id="141"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40">
        <w:r>
          <w:rPr>
            <w:rStyle w:val="Hyperlink"/>
          </w:rPr>
          <w:t xml:space="preserve">https://doi.org/10.1016/j.jembe.2016.10.023</w:t>
        </w:r>
      </w:hyperlink>
      <w:r>
        <w:t xml:space="preserve">.</w:t>
      </w:r>
    </w:p>
    <w:bookmarkEnd w:id="141"/>
    <w:bookmarkStart w:id="14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2">
        <w:r>
          <w:rPr>
            <w:rStyle w:val="Hyperlink"/>
          </w:rPr>
          <w:t xml:space="preserve">https://doi.org/10.1371/journal.pone.0081944</w:t>
        </w:r>
      </w:hyperlink>
      <w:r>
        <w:t xml:space="preserve">.</w:t>
      </w:r>
    </w:p>
    <w:bookmarkEnd w:id="143"/>
    <w:bookmarkStart w:id="144"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4"/>
    <w:bookmarkStart w:id="146"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5">
        <w:r>
          <w:rPr>
            <w:rStyle w:val="Hyperlink"/>
          </w:rPr>
          <w:t xml:space="preserve">https://doi.org/10.1017/S0376892902000322</w:t>
        </w:r>
      </w:hyperlink>
      <w:r>
        <w:t xml:space="preserve">.</w:t>
      </w:r>
    </w:p>
    <w:bookmarkEnd w:id="146"/>
    <w:bookmarkStart w:id="148"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7">
        <w:r>
          <w:rPr>
            <w:rStyle w:val="Hyperlink"/>
          </w:rPr>
          <w:t xml:space="preserve">https://doi.org/10.3354/meps07752</w:t>
        </w:r>
      </w:hyperlink>
      <w:r>
        <w:t xml:space="preserve">.</w:t>
      </w:r>
    </w:p>
    <w:bookmarkEnd w:id="148"/>
    <w:bookmarkStart w:id="149"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9"/>
    <w:bookmarkStart w:id="150"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50"/>
    <w:bookmarkStart w:id="151"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1"/>
    <w:bookmarkStart w:id="152"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2"/>
    <w:bookmarkStart w:id="153"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3"/>
    <w:bookmarkStart w:id="155"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4">
        <w:r>
          <w:rPr>
            <w:rStyle w:val="Hyperlink"/>
          </w:rPr>
          <w:t xml:space="preserve">https://doi.org/10.1016/j.ecss.2007.07.008</w:t>
        </w:r>
      </w:hyperlink>
      <w:r>
        <w:t xml:space="preserve">.</w:t>
      </w:r>
    </w:p>
    <w:bookmarkEnd w:id="155"/>
    <w:bookmarkStart w:id="156"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6"/>
    <w:bookmarkStart w:id="157"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7"/>
    <w:bookmarkStart w:id="159"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8">
        <w:r>
          <w:rPr>
            <w:rStyle w:val="Hyperlink"/>
          </w:rPr>
          <w:t xml:space="preserve">https://doi.org/10.1016/j.aquabot.2005.05.007</w:t>
        </w:r>
      </w:hyperlink>
      <w:r>
        <w:t xml:space="preserve">.</w:t>
      </w:r>
    </w:p>
    <w:bookmarkEnd w:id="159"/>
    <w:bookmarkStart w:id="16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60"/>
    <w:bookmarkStart w:id="161"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61"/>
    <w:bookmarkStart w:id="162"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2"/>
    <w:bookmarkEnd w:id="163"/>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morphological characteristics of the kelps, Ecklonia maxima and Laminaria pallida</dc:title>
  <dc:creator>R. Coppin, C. Rautenbach, T. Ponton and A.J Smit</dc:creator>
  <cp:keywords/>
  <dcterms:created xsi:type="dcterms:W3CDTF">2020-01-06T17:11:52Z</dcterms:created>
  <dcterms:modified xsi:type="dcterms:W3CDTF">2020-01-06T17:11:52Z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