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morphological</w:t>
      </w:r>
      <w:r>
        <w:t xml:space="preserve"> </w:t>
      </w:r>
      <w:r>
        <w:t xml:space="preserve">characteristics</w:t>
      </w:r>
      <w:r>
        <w:t xml:space="preserve"> </w:t>
      </w:r>
      <w:r>
        <w:t xml:space="preserve">of</w:t>
      </w:r>
      <w:r>
        <w:t xml:space="preserve"> </w:t>
      </w:r>
      <w:r>
        <w:t xml:space="preserve">the</w:t>
      </w:r>
      <w:r>
        <w:t xml:space="preserve"> </w:t>
      </w:r>
      <w:r>
        <w:t xml:space="preserve">kelps,</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rPr>
          <w:i/>
        </w:rPr>
        <w:t xml:space="preserve">Ecklonia</w:t>
      </w:r>
      <w:r>
        <w:rPr>
          <w:i/>
        </w:rPr>
        <w:t xml:space="preserve"> </w:t>
      </w:r>
      <w:r>
        <w:rPr>
          <w:i/>
        </w:rPr>
        <w:t xml:space="preserve">maxima</w:t>
      </w:r>
      <w:r>
        <w:t xml:space="preserve"> </w:t>
      </w:r>
      <w:r>
        <w:t xml:space="preserve">and</w:t>
      </w:r>
      <w:r>
        <w:t xml:space="preserve"> </w:t>
      </w:r>
      <w:r>
        <w:rPr>
          <w:i/>
        </w:rPr>
        <w:t xml:space="preserve">Laminaria</w:t>
      </w:r>
      <w:r>
        <w:rPr>
          <w:i/>
        </w:rPr>
        <w:t xml:space="preserve"> </w:t>
      </w:r>
      <w:r>
        <w:rPr>
          <w:i/>
        </w:rPr>
        <w:t xml:space="preserve">pallida</w:t>
      </w:r>
      <w:r>
        <w:t xml:space="preserv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changes in these influences pose a direct threat to their survival; which is a concern considering that these variables are known to be affected by climate change</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(T. Wernberg et al.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T.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Ecklonia radiata</w:t>
      </w:r>
      <w:r>
        <w:t xml:space="preserve"> </w:t>
      </w:r>
      <w:r>
        <w:t xml:space="preserve">(C. Agardh) J. 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Ma et al. 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n.d.;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 radiata</w:t>
      </w:r>
      <w:r>
        <w:t xml:space="preserve"> </w:t>
      </w:r>
      <w:r>
        <w:t xml:space="preserve">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6197600" cy="6197600"/>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thesis_chapter_2_files/figure-docx/map-1.png" id="0" name="Picture"/>
                    <pic:cNvPicPr>
                      <a:picLocks noChangeArrowheads="1" noChangeAspect="1"/>
                    </pic:cNvPicPr>
                  </pic:nvPicPr>
                  <pic:blipFill>
                    <a:blip r:embed="rId2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winter months, upwelling becomes more favourable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1 kilometer resolution grid.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thesis_chapter_2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13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 for each of the environmental variables considered in this study, and are presented in Table 3.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categorised according to temperature regime and wave exposure category for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(db-RDA)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title="" id="1" name="Picture"/>
            <a:graphic>
              <a:graphicData uri="http://schemas.openxmlformats.org/drawingml/2006/picture">
                <pic:pic>
                  <pic:nvPicPr>
                    <pic:cNvPr descr="thesis_chapter_2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 figure</w:t>
      </w:r>
      <w:r>
        <w:t xml:space="preserve">B, which shows a significantly lower (</w:t>
      </w:r>
      <w:r>
        <w:rPr>
          <w:i/>
        </w:rPr>
        <w:t xml:space="preserve">p</w:t>
      </w:r>
      <w:r>
        <w:t xml:space="preserve"> </w:t>
      </w:r>
      <w:r>
        <w:t xml:space="preserve">&lt;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w:t>
      </w:r>
      <w:r>
        <w:rPr>
          <w:i/>
        </w:rPr>
        <w:t xml:space="preserve">p</w:t>
      </w:r>
      <w:r>
        <w:t xml:space="preserve"> </w:t>
      </w:r>
      <w:r>
        <w:t xml:space="preserve">&lt; 0.05; see figure</w:t>
      </w:r>
      <w:r>
        <w:t xml:space="preserve"> </w:t>
      </w:r>
      <w:r>
        <w:t xml:space="preserve">C) and mean peak period (</w:t>
      </w:r>
      <w:r>
        <w:rPr>
          <w:i/>
        </w:rPr>
        <w:t xml:space="preserve">p</w:t>
      </w:r>
      <w:r>
        <w:t xml:space="preserve"> </w:t>
      </w:r>
      <w:r>
        <w:t xml:space="preserve">&lt;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thesis_chapter_2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Total (A), Austral winter (B) and Austral summer (C) respectively" title="" id="1" name="Picture"/>
            <a:graphic>
              <a:graphicData uri="http://schemas.openxmlformats.org/drawingml/2006/picture">
                <pic:pic>
                  <pic:nvPicPr>
                    <pic:cNvPr descr="thesis_chapter_2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Total (A), Austral winter (B) and Austral summer (C)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Total (A), summer (B), winter (C), spring (D) and autumn (E)." title="" id="1" name="Picture"/>
            <a:graphic>
              <a:graphicData uri="http://schemas.openxmlformats.org/drawingml/2006/picture">
                <pic:pic>
                  <pic:nvPicPr>
                    <pic:cNvPr descr="thesis_chapter_2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Total (A), summer (B), winter (C), spring (D) and autumn (E).</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thesis_chapter_2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w:t>
      </w:r>
      <w:r>
        <w:rPr>
          <w:i/>
        </w:rPr>
        <w:t xml:space="preserve">p</w:t>
      </w:r>
      <w:r>
        <w:t xml:space="preserve"> </w:t>
      </w:r>
      <w:r>
        <w:t xml:space="preserve">&lt; 0.05; see figure</w:t>
      </w:r>
      <w:r>
        <w:t xml:space="preserve"> </w:t>
      </w:r>
      <w:r>
        <w:t xml:space="preserv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w:t>
      </w:r>
      <w:r>
        <w:rPr>
          <w:i/>
        </w:rPr>
        <w:t xml:space="preserve">p</w:t>
      </w:r>
      <w:r>
        <w:t xml:space="preserve"> </w:t>
      </w:r>
      <w:r>
        <w:t xml:space="preserve">&lt; 0.05; see figure</w:t>
      </w:r>
      <w:r>
        <w:t xml:space="preserve"> </w:t>
      </w:r>
      <w:r>
        <w:t xml:space="preserve">). All of the significantly different morphological characteristics, except primary length, had lower values for the western region compared to the eastern region. When shallow</w:t>
      </w:r>
      <w:r>
        <w:t xml:space="preserve"> </w:t>
      </w:r>
      <w:r>
        <w:rPr>
          <w:i/>
        </w:rPr>
        <w:t xml:space="preserve">E. maxima</w:t>
      </w:r>
      <w:r>
        <w:t xml:space="preserve"> </w:t>
      </w:r>
      <w:r>
        <w:t xml:space="preserve">were grouped by wave exposure category significant difference were found for all morphological characteristics (</w:t>
      </w:r>
      <w:r>
        <w:rPr>
          <w:i/>
        </w:rPr>
        <w:t xml:space="preserve">p</w:t>
      </w:r>
      <w:r>
        <w:t xml:space="preserve"> </w:t>
      </w:r>
      <w:r>
        <w:t xml:space="preserve">&lt;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w:t>
      </w:r>
      <w:r>
        <w:rPr>
          <w:i/>
        </w:rPr>
        <w:t xml:space="preserve">i.e.</w:t>
      </w:r>
      <w:r>
        <w:t xml:space="preserve"> </w:t>
      </w:r>
      <w:r>
        <w:t xml:space="preserve">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w:t>
      </w:r>
      <w:r>
        <w:rPr>
          <w:i/>
        </w:rPr>
        <w:t xml:space="preserve">p</w:t>
      </w:r>
      <w:r>
        <w:t xml:space="preserve"> </w:t>
      </w:r>
      <w:r>
        <w:t xml:space="preserve">=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thesis_chapter_2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w:t>
      </w:r>
      <w:r>
        <w:rPr>
          <w:i/>
        </w:rPr>
        <w:t xml:space="preserve">p</w:t>
      </w:r>
      <w:r>
        <w:t xml:space="preserve"> </w:t>
      </w:r>
      <w:r>
        <w:t xml:space="preserve">=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the morphology of</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arpound tehe Cape Peninsula. These abiotic variables, namely temperature and wave exposure,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this is particulary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T. 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and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BodyText"/>
      </w:pPr>
      <w:r>
        <w:t xml:space="preserve">Kelps living in warmer environments have been shown to have a lower resilience to purbutation, such as storms</w:t>
      </w:r>
      <w:r>
        <w:t xml:space="preserve"> </w:t>
      </w:r>
      <w:r>
        <w:t xml:space="preserve">(T. Wernberg et al. 2010)</w:t>
      </w:r>
      <w:r>
        <w:t xml:space="preserve">. The kelps in False Bay, may therefore be more vulnerable to dislodgment under high wave exposure scenarios compared to kelps on the western side of the Cape Peninsula, which experiences higher wave energy on a regular basis. In South Africa, the main contributing factors to the hydrodynamic environment are the Southern Annular Node (SAM) and El Nino Southern Oscillation (ENSO), while the latter is also the main source of variability</w:t>
      </w:r>
      <w:r>
        <w:t xml:space="preserve"> </w:t>
      </w:r>
      <w:r>
        <w:t xml:space="preserve">(Veitch et al. 2019)</w:t>
      </w:r>
      <w:r>
        <w:t xml:space="preserve">. These climate systems are expected to alter storm frequency and magnitude under future climate scenarios, which may increase the overall wave power around the Cape Peninsula. The magnitude-specific response of the kelp species to wave exposure in this study suggests there is a limit to morphological adaption in reducing the probability of dislodgement. Therefore, if this limit is reached and exceeded in future climate scenarios, kelp populations may risk being reduced over time. Furthermore, although recent studies suggest a cooling trend of coastal waters around South Africa</w:t>
      </w:r>
      <w:r>
        <w:t xml:space="preserve"> </w:t>
      </w:r>
      <w:r>
        <w:t xml:space="preserve">(Rouault, Pohl, and Penven 2010; Smit et al. 2013)</w:t>
      </w:r>
      <w:r>
        <w:t xml:space="preserve">, the impact of marine heat waves may reduce the resilience of kelps to storms and high wave energy. Although this study identifies specific wave and temperature metrics that drive morphological adaptation and suggests a possible wave exposure threshold, it does not identify the metrics or magnitude of wave exposure required to dislodge kelp. Therefore, future studies should consider using advanced numerical methods to investigate the specific wave power needed to dislodge kelp, and ideally, given a specific set of morphological measures. These types of studies in conjunction with forecasting studies can be used to determine the vulnerability of kelp populations to future climate scenarios.</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Funding number is CSRP170430229220</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thesis_chapter_2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thesis_chapter_2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3" w:name="refs"/>
    <w:bookmarkStart w:id="61" w:name="ref-anderson1997"/>
    <w:p>
      <w:pPr>
        <w:pStyle w:val="Bibliography"/>
      </w:pPr>
      <w:r>
        <w:t xml:space="preserve">Anderson, RJ, P Carrick, GJ Levitt, and A Share. 1997. “Holdfasts of Adult Kelp</w:t>
      </w:r>
      <w:r>
        <w:t xml:space="preserve"> </w:t>
      </w:r>
      <w:r>
        <w:rPr>
          <w:i/>
        </w:rPr>
        <w:t xml:space="preserve">Ecklonia Maxima</w:t>
      </w:r>
      <w:r>
        <w:t xml:space="preserve"> </w:t>
      </w:r>
      <w:r>
        <w:t xml:space="preserve">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r>
        <w:t xml:space="preserve"> </w:t>
      </w:r>
      <w:r>
        <w:rPr>
          <w:i/>
        </w:rPr>
        <w:t xml:space="preserve">Ecological Applications</w:t>
      </w:r>
      <w:r>
        <w:t xml:space="preserve">.</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8"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8"/>
    <w:bookmarkStart w:id="100"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9">
        <w:r>
          <w:rPr>
            <w:rStyle w:val="Hyperlink"/>
          </w:rPr>
          <w:t xml:space="preserve">https://doi.org/10.1111/j.1529-8817.2012.01224.x</w:t>
        </w:r>
      </w:hyperlink>
      <w:r>
        <w:t xml:space="preserve">.</w:t>
      </w:r>
    </w:p>
    <w:bookmarkEnd w:id="100"/>
    <w:bookmarkStart w:id="101"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1"/>
    <w:bookmarkStart w:id="102"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2"/>
    <w:bookmarkStart w:id="104"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103">
        <w:r>
          <w:rPr>
            <w:rStyle w:val="Hyperlink"/>
          </w:rPr>
          <w:t xml:space="preserve">https://doi.org/10.1175/1520-0485(1984)014&lt;1300:IWABCK&gt;2.0.CO;2</w:t>
        </w:r>
      </w:hyperlink>
      <w:r>
        <w:t xml:space="preserve">.</w:t>
      </w:r>
    </w:p>
    <w:bookmarkEnd w:id="104"/>
    <w:bookmarkStart w:id="105" w:name="ref-Jury1980-ov"/>
    <w:p>
      <w:pPr>
        <w:pStyle w:val="Bibliography"/>
      </w:pPr>
      <w:r>
        <w:t xml:space="preserve">Jury, Mark R. 1980. “Characteristics of summer wind fields and air sea interactions over the Cape Peninsula upwelling region.”</w:t>
      </w:r>
    </w:p>
    <w:bookmarkEnd w:id="105"/>
    <w:bookmarkStart w:id="106"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6"/>
    <w:bookmarkStart w:id="107"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7"/>
    <w:bookmarkStart w:id="108"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8"/>
    <w:bookmarkStart w:id="110"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9">
        <w:r>
          <w:rPr>
            <w:rStyle w:val="Hyperlink"/>
          </w:rPr>
          <w:t xml:space="preserve">https://doi.org/10.3354/meps09940</w:t>
        </w:r>
      </w:hyperlink>
      <w:r>
        <w:t xml:space="preserve">.</w:t>
      </w:r>
    </w:p>
    <w:bookmarkEnd w:id="110"/>
    <w:bookmarkStart w:id="112"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1">
        <w:r>
          <w:rPr>
            <w:rStyle w:val="Hyperlink"/>
          </w:rPr>
          <w:t xml:space="preserve">https://doi.org/10.1515/BOT.2000.036</w:t>
        </w:r>
      </w:hyperlink>
      <w:r>
        <w:t xml:space="preserve">.</w:t>
      </w:r>
    </w:p>
    <w:bookmarkEnd w:id="112"/>
    <w:bookmarkStart w:id="113"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3"/>
    <w:bookmarkStart w:id="114"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4"/>
    <w:bookmarkStart w:id="116"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5">
        <w:r>
          <w:rPr>
            <w:rStyle w:val="Hyperlink"/>
          </w:rPr>
          <w:t xml:space="preserve">http://www.int-res.com/abstracts/meps/v483/p117-131</w:t>
        </w:r>
      </w:hyperlink>
      <w:r>
        <w:t xml:space="preserve">.</w:t>
      </w:r>
    </w:p>
    <w:bookmarkEnd w:id="116"/>
    <w:bookmarkStart w:id="117"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7"/>
    <w:bookmarkStart w:id="118"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8"/>
    <w:bookmarkStart w:id="119"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9"/>
    <w:bookmarkStart w:id="120"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20"/>
    <w:bookmarkStart w:id="121"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21"/>
    <w:bookmarkStart w:id="122"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22"/>
    <w:bookmarkStart w:id="123"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3"/>
    <w:bookmarkStart w:id="124"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24"/>
    <w:bookmarkStart w:id="125"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5"/>
    <w:bookmarkStart w:id="126"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6"/>
    <w:bookmarkStart w:id="127"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7"/>
    <w:bookmarkStart w:id="128"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8"/>
    <w:bookmarkStart w:id="130"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9">
        <w:r>
          <w:rPr>
            <w:rStyle w:val="Hyperlink"/>
          </w:rPr>
          <w:t xml:space="preserve">https://doi.org/10.1371/journal.pone.0100222</w:t>
        </w:r>
      </w:hyperlink>
      <w:r>
        <w:t xml:space="preserve">.</w:t>
      </w:r>
    </w:p>
    <w:bookmarkEnd w:id="130"/>
    <w:bookmarkStart w:id="131"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31"/>
    <w:bookmarkStart w:id="132"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32"/>
    <w:bookmarkStart w:id="133"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33"/>
    <w:bookmarkStart w:id="134"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4"/>
    <w:bookmarkStart w:id="135"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5"/>
    <w:bookmarkStart w:id="136"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6"/>
    <w:bookmarkStart w:id="137"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7"/>
    <w:bookmarkStart w:id="138"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8"/>
    <w:bookmarkStart w:id="139"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9"/>
    <w:bookmarkStart w:id="141"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40">
        <w:r>
          <w:rPr>
            <w:rStyle w:val="Hyperlink"/>
          </w:rPr>
          <w:t xml:space="preserve">https://doi.org/10.1016/j.jembe.2016.10.023</w:t>
        </w:r>
      </w:hyperlink>
      <w:r>
        <w:t xml:space="preserve">.</w:t>
      </w:r>
    </w:p>
    <w:bookmarkEnd w:id="141"/>
    <w:bookmarkStart w:id="14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2">
        <w:r>
          <w:rPr>
            <w:rStyle w:val="Hyperlink"/>
          </w:rPr>
          <w:t xml:space="preserve">https://doi.org/10.1371/journal.pone.0081944</w:t>
        </w:r>
      </w:hyperlink>
      <w:r>
        <w:t xml:space="preserve">.</w:t>
      </w:r>
    </w:p>
    <w:bookmarkEnd w:id="143"/>
    <w:bookmarkStart w:id="144"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4"/>
    <w:bookmarkStart w:id="146"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5">
        <w:r>
          <w:rPr>
            <w:rStyle w:val="Hyperlink"/>
          </w:rPr>
          <w:t xml:space="preserve">https://doi.org/10.1017/S0376892902000322</w:t>
        </w:r>
      </w:hyperlink>
      <w:r>
        <w:t xml:space="preserve">.</w:t>
      </w:r>
    </w:p>
    <w:bookmarkEnd w:id="146"/>
    <w:bookmarkStart w:id="148"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7">
        <w:r>
          <w:rPr>
            <w:rStyle w:val="Hyperlink"/>
          </w:rPr>
          <w:t xml:space="preserve">https://doi.org/10.3354/meps07752</w:t>
        </w:r>
      </w:hyperlink>
      <w:r>
        <w:t xml:space="preserve">.</w:t>
      </w:r>
    </w:p>
    <w:bookmarkEnd w:id="148"/>
    <w:bookmarkStart w:id="149"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9"/>
    <w:bookmarkStart w:id="150"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50"/>
    <w:bookmarkStart w:id="151"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51"/>
    <w:bookmarkStart w:id="152"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2"/>
    <w:bookmarkStart w:id="153"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53"/>
    <w:bookmarkStart w:id="155"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4">
        <w:r>
          <w:rPr>
            <w:rStyle w:val="Hyperlink"/>
          </w:rPr>
          <w:t xml:space="preserve">https://doi.org/10.1016/j.ecss.2007.07.008</w:t>
        </w:r>
      </w:hyperlink>
      <w:r>
        <w:t xml:space="preserve">.</w:t>
      </w:r>
    </w:p>
    <w:bookmarkEnd w:id="155"/>
    <w:bookmarkStart w:id="156" w:name="ref-Wernberg2010b"/>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156"/>
    <w:bookmarkStart w:id="157" w:name="ref-Wernberg2010a"/>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7"/>
    <w:bookmarkStart w:id="159"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8">
        <w:r>
          <w:rPr>
            <w:rStyle w:val="Hyperlink"/>
          </w:rPr>
          <w:t xml:space="preserve">https://doi.org/10.1016/j.aquabot.2005.05.007</w:t>
        </w:r>
      </w:hyperlink>
      <w:r>
        <w:t xml:space="preserve">.</w:t>
      </w:r>
    </w:p>
    <w:bookmarkEnd w:id="159"/>
    <w:bookmarkStart w:id="16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60"/>
    <w:bookmarkStart w:id="161"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61"/>
    <w:bookmarkStart w:id="162"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2"/>
    <w:bookmarkEnd w:id="163"/>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morphological characteristics of the kelps, Ecklonia maxima and Laminaria pallida</dc:title>
  <dc:creator>R. Coppin, C. Rautenbach, T. Ponton and A.J Smit</dc:creator>
  <cp:keywords/>
  <dcterms:created xsi:type="dcterms:W3CDTF">2020-01-07T15:22:49Z</dcterms:created>
  <dcterms:modified xsi:type="dcterms:W3CDTF">2020-01-07T15:22:49Z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