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23.png" ContentType="image/png"/>
  <Override PartName="/word/media/rId39.png" ContentType="image/png"/>
  <Override PartName="/word/media/rId33.png" ContentType="image/png"/>
  <Override PartName="/word/media/rId35.png" ContentType="image/png"/>
  <Override PartName="/word/media/rId44.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Ross</w:t>
      </w:r>
      <w:r>
        <w:t xml:space="preserve"> </w:t>
      </w:r>
      <w:r>
        <w:t xml:space="preserve">Coppin</w:t>
      </w:r>
    </w:p>
    <w:p>
      <w:pPr>
        <w:pStyle w:val="Heading1"/>
      </w:pPr>
      <w:bookmarkStart w:id="20" w:name="introduction"/>
      <w:r>
        <w:t xml:space="preserve">Introduction</w:t>
      </w:r>
      <w:bookmarkEnd w:id="20"/>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Considerable research has been performed investigating macroalgae as a passive dispersal mechanism in the ocean, however, in recent years much of the focus has shifted towards microplastics.</w:t>
      </w:r>
    </w:p>
    <w:p>
      <w:pPr>
        <w:pStyle w:val="BodyText"/>
      </w:pPr>
      <w:r>
        <w:t xml:space="preserve">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calculated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(i.e. shape) as an aspect of drag and ultimately trajectory. Currently, work by</w:t>
      </w:r>
      <w:r>
        <w:t xml:space="preserve"> </w:t>
      </w:r>
      <w:r>
        <w:t xml:space="preserve">Brooks et al. (2019)</w:t>
      </w:r>
      <w:r>
        <w:t xml:space="preserve"> </w:t>
      </w:r>
      <w:r>
        <w:t xml:space="preserve">which investigated the effect of inertia and radial size on the trajectory of pelagic</w:t>
      </w:r>
      <w:r>
        <w:t xml:space="preserve"> </w:t>
      </w:r>
      <w:r>
        <w:rPr>
          <w:i/>
        </w:rPr>
        <w:t xml:space="preserve">Sargussum</w:t>
      </w:r>
      <w:r>
        <w:t xml:space="preserve"> </w:t>
      </w:r>
      <w:r>
        <w:t xml:space="preserve">rafts. The study 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hydrodynamic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1" w:name="methods"/>
      <w:r>
        <w:t xml:space="preserve">Methods</w:t>
      </w:r>
      <w:bookmarkEnd w:id="21"/>
    </w:p>
    <w:p>
      <w:pPr>
        <w:pStyle w:val="Heading2"/>
      </w:pPr>
      <w:bookmarkStart w:id="22" w:name="study-site"/>
      <w:r>
        <w:t xml:space="preserve">Study site</w:t>
      </w:r>
      <w:bookmarkEnd w:id="22"/>
    </w:p>
    <w:p>
      <w:pPr>
        <w:pStyle w:val="FirstParagraph"/>
      </w:pPr>
      <w:r>
        <w:t xml:space="preserve">The region of interest for this study was the Cape Peninsula in the Western Cape, South Africa. This was further sub-divided into two domains, the Atlantic domain and False Bay domain (Figure 1A). One release site is located in each of the domains, namely Kommetjie in the Atlantic and Buffelsbaai in False Bay (Figure 2B). The hydrodynamics between the two domains are driven by a complex interaction of wind and wave vectors, with wind driven processes primarily occurring in False Bay. For a more detailed explanation of the hydrodynamics of these two domains the reader is referred to</w:t>
      </w:r>
      <w:r>
        <w:t xml:space="preserve"> </w:t>
      </w:r>
      <w:r>
        <w:t xml:space="preserve">Coppin et al. (2020)</w:t>
      </w:r>
      <w:r>
        <w:t xml:space="preserve">. The hydrodynamic characteristics of these regions are also influenced by larger oceanic processes, which in South Africa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w:t>
      </w:r>
    </w:p>
    <w:p>
      <w:pPr>
        <w:pStyle w:val="CaptionedFigure"/>
      </w:pPr>
      <w:r>
        <w:drawing>
          <wp:inline>
            <wp:extent cx="4620126" cy="3696101"/>
            <wp:effectExtent b="0" l="0" r="0" t="0"/>
            <wp:docPr descr="Figure 1:Map of the study domain. This is a temporary map until issues with the map script are resolved."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1:Map of the study domain. This is a temporary map until issues with the map script are resolved.</w:t>
      </w:r>
    </w:p>
    <w:p>
      <w:pPr>
        <w:pStyle w:val="Heading2"/>
      </w:pPr>
      <w:bookmarkStart w:id="24" w:name="particle-tracking-model"/>
      <w:r>
        <w:t xml:space="preserve">Particle tracking model</w:t>
      </w:r>
      <w:bookmarkEnd w:id="24"/>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5" w:name="hydrodynamic-and-wind-model"/>
      <w:r>
        <w:t xml:space="preserve">Hydrodynamic and wind model</w:t>
      </w:r>
      <w:bookmarkEnd w:id="25"/>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6" w:name="simulations"/>
      <w:r>
        <w:t xml:space="preserve">Simulations</w:t>
      </w:r>
      <w:bookmarkEnd w:id="26"/>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p>
      <w:pPr>
        <w:pStyle w:val="TableCaption"/>
      </w:pPr>
      <w:r>
        <w:t xml:space="preserve">Table 1:Details for each simulation executed for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BodyText"/>
      </w:pPr>
      <w:r>
        <w:t xml:space="preserve">In order to determine the influence of cross-sectional area on drag components, simulations were performed for the minimum, mean and maximum cross-sectional areas for Kommetjie kelp forest population (Figure 1).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27" w:name="model-inputs"/>
      <w:r>
        <w:t xml:space="preserve">Model inputs</w:t>
      </w:r>
      <w:bookmarkEnd w:id="27"/>
    </w:p>
    <w:p>
      <w:pPr>
        <w:pStyle w:val="Heading3"/>
      </w:pPr>
      <w:bookmarkStart w:id="28" w:name="cross-sectional-area"/>
      <w:r>
        <w:t xml:space="preserve">Cross-sectional area</w:t>
      </w:r>
      <w:bookmarkEnd w:id="28"/>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refer to table 2.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2:Summary of the atrributes and estimates used to calculate the overall surface area of Kommetjie kelp individuals used in the various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Heading3"/>
      </w:pPr>
      <w:bookmarkStart w:id="29" w:name="hydrodynamic-and-wind-drag"/>
      <w:r>
        <w:t xml:space="preserve">Hydrodynamic and wind drag</w:t>
      </w:r>
      <w:bookmarkEnd w:id="29"/>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the wind drag the virtual particle.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hydrodynamic drag; 0 %, 5%, 10%, and 15% for wind (see table 1).</w:t>
      </w:r>
    </w:p>
    <w:p>
      <w:pPr>
        <w:pStyle w:val="Heading2"/>
      </w:pPr>
      <w:bookmarkStart w:id="30" w:name="analysis"/>
      <w:r>
        <w:t xml:space="preserve">Analysis</w:t>
      </w:r>
      <w:bookmarkEnd w:id="30"/>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(Putman et al., 2020; putman2018;</w:t>
      </w:r>
      <w:r>
        <w:t xml:space="preserve"> </w:t>
      </w:r>
      <w:r>
        <w:rPr>
          <w:b/>
        </w:rPr>
        <w:t xml:space="preserve">???</w:t>
      </w:r>
      <w:r>
        <w:t xml:space="preserve">)</w:t>
      </w:r>
      <w:r>
        <w:t xml:space="preserve">.</w:t>
      </w:r>
    </w:p>
    <w:p>
      <w:pPr>
        <w:pStyle w:val="Heading1"/>
      </w:pPr>
      <w:bookmarkStart w:id="31" w:name="results"/>
      <w:r>
        <w:t xml:space="preserve">Results</w:t>
      </w:r>
      <w:bookmarkEnd w:id="31"/>
    </w:p>
    <w:p>
      <w:pPr>
        <w:pStyle w:val="Heading2"/>
      </w:pPr>
      <w:bookmarkStart w:id="32" w:name="trajectory-comparison"/>
      <w:r>
        <w:t xml:space="preserve">Trajectory comparison</w:t>
      </w:r>
      <w:bookmarkEnd w:id="32"/>
    </w:p>
    <w:p>
      <w:pPr>
        <w:pStyle w:val="FirstParagraph"/>
      </w:pPr>
      <w:r>
        <w:t xml:space="preserve">The mean trajectories of the different cross-sectional areas are similar to the mean trajectory of the passive particles (Figure 1A).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 (Figure 1B).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CaptionedFigure"/>
      </w:pPr>
      <w:r>
        <w:drawing>
          <wp:inline>
            <wp:extent cx="5544151" cy="2772075"/>
            <wp:effectExtent b="0" l="0" r="0" t="0"/>
            <wp:docPr descr="Figure 2: Comparison of mean trajectories. Plot A is the comparison of mean trajectories for only hydrodynamic drag and plot B is the comparison of mean trajectories for simulations with varying degrees of hydrodynamic and wind drag."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3"/>
                    <a:stretch>
                      <a:fillRect/>
                    </a:stretch>
                  </pic:blipFill>
                  <pic:spPr bwMode="auto">
                    <a:xfrm>
                      <a:off x="0" y="0"/>
                      <a:ext cx="5544151" cy="2772075"/>
                    </a:xfrm>
                    <a:prstGeom prst="rect">
                      <a:avLst/>
                    </a:prstGeom>
                    <a:noFill/>
                    <a:ln w="9525">
                      <a:noFill/>
                      <a:headEnd/>
                      <a:tailEnd/>
                    </a:ln>
                  </pic:spPr>
                </pic:pic>
              </a:graphicData>
            </a:graphic>
          </wp:inline>
        </w:drawing>
      </w:r>
    </w:p>
    <w:p>
      <w:pPr>
        <w:pStyle w:val="ImageCaption"/>
      </w:pPr>
      <w:r>
        <w:t xml:space="preserve">Figure 2: Comparison of mean trajectories. Plot A is the comparison of mean trajectories for only hydrodynamic drag and plot B is the comparison of mean trajectories for simulations with varying degrees of hydrodynamic and wind drag.</w:t>
      </w:r>
    </w:p>
    <w:p>
      <w:pPr>
        <w:pStyle w:val="Heading2"/>
      </w:pPr>
      <w:bookmarkStart w:id="34" w:name="comparison-of-density-distributions"/>
      <w:r>
        <w:t xml:space="preserve">Comparison of density distributions</w:t>
      </w:r>
      <w:bookmarkEnd w:id="34"/>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 almost even density of particles across grids (Figure 3A, 3E, 3I). In addition the density plots show that the particles in simulations that considered any form of drag got entrained in a vorticy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CaptionedFigure"/>
      </w:pPr>
      <w:r>
        <w:drawing>
          <wp:inline>
            <wp:extent cx="6197600" cy="8427014"/>
            <wp:effectExtent b="0" l="0" r="0" t="0"/>
            <wp:docPr descr="Figure 3: Comparison of density of particles within each grid cell for the end run time of each scenario. Plots A-D repressent the minimum, plots E-H are the mean and plots I-L the maximum cross-sectional areas. The bottom plot is the density plot for the passive simulation."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5"/>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3: Comparison of density of particles within each grid cell for the end run time of each scenario. Plots A-D repressent the minimum, plots E-H are the mean and plots I-L the maximum cross-sectional areas. The bottom plot is the density plot for the passive simulation.</w:t>
      </w:r>
    </w:p>
    <w:p>
      <w:pPr>
        <w:pStyle w:val="Heading2"/>
      </w:pPr>
      <w:bookmarkStart w:id="36" w:name="comparison-of-distances"/>
      <w:r>
        <w:t xml:space="preserve">Comparison of distances</w:t>
      </w:r>
      <w:bookmarkEnd w:id="36"/>
    </w:p>
    <w:p>
      <w:pPr>
        <w:pStyle w:val="FirstParagraph"/>
      </w:pPr>
      <w:r>
        <w:t xml:space="preserve">There were significant differences among the median distances travelled for all particles in each simulation (Figure 4;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 simulations.</w:t>
      </w:r>
    </w:p>
    <w:p>
      <w:pPr>
        <w:pStyle w:val="CaptionedFigure"/>
      </w:pPr>
      <w:r>
        <w:drawing>
          <wp:inline>
            <wp:extent cx="4620126" cy="3696101"/>
            <wp:effectExtent b="0" l="0" r="0" t="0"/>
            <wp:docPr descr="Figure 4: Boxplots of total distance of all particles from the release sit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Boxplots of total distance of all particles from the release site over the course of the simulation for each exposure scenario.</w:t>
      </w:r>
    </w:p>
    <w:p>
      <w:pPr>
        <w:pStyle w:val="Heading2"/>
      </w:pPr>
      <w:bookmarkStart w:id="38" w:name="comparison-of-coefficents"/>
      <w:r>
        <w:t xml:space="preserve">Comparison of coefficents</w:t>
      </w:r>
      <w:bookmarkEnd w:id="38"/>
    </w:p>
    <w:p>
      <w:pPr>
        <w:pStyle w:val="FirstParagraph"/>
      </w:pPr>
      <w:r>
        <w:t xml:space="preserve">The comparison of mean trajectories between the sphere and cylindrical shape coefficients revealed no dissimilarity (Figure 5A). This was also reflected when comparing distance travelled by particles and particle density plots (Figure 5B). The simulation which used a cylindrical shape coefficient showed higher density in an eddy compared to the simulation which used a sphere for the shape coefficient (Figure 5C-D).</w:t>
      </w:r>
    </w:p>
    <w:p>
      <w:pPr>
        <w:pStyle w:val="CaptionedFigure"/>
      </w:pPr>
      <w:r>
        <w:drawing>
          <wp:inline>
            <wp:extent cx="6197600" cy="6197600"/>
            <wp:effectExtent b="0" l="0" r="0" t="0"/>
            <wp:docPr descr="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w:t>
      </w:r>
    </w:p>
    <w:p>
      <w:pPr>
        <w:pStyle w:val="Heading1"/>
      </w:pPr>
      <w:bookmarkStart w:id="40" w:name="discussion"/>
      <w:r>
        <w:t xml:space="preserve">Discussion</w:t>
      </w:r>
      <w:bookmarkEnd w:id="40"/>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w:t>
      </w:r>
      <w:r>
        <w:rPr>
          <w:b/>
        </w:rPr>
        <w:t xml:space="preserve">???</w:t>
      </w:r>
      <w:r>
        <w:t xml:space="preserve">; Fossette et al., 2012; Miron et al., 2020)</w:t>
      </w:r>
      <w:r>
        <w:t xml:space="preserve">. Although past research has shown the inclusion of inertia and windage greatly increase observed macroalgae trajectory and entrainment characteristics</w:t>
      </w:r>
      <w:r>
        <w:t xml:space="preserve"> </w:t>
      </w:r>
      <w:r>
        <w:t xml:space="preserve">(</w:t>
      </w:r>
      <w:r>
        <w:rPr>
          <w:b/>
        </w:rPr>
        <w:t xml:space="preserve">???</w:t>
      </w:r>
      <w:r>
        <w:t xml:space="preserve">; Putman et al., 2018, 2020; Brooks et al., 2019)</w:t>
      </w:r>
      <w:r>
        <w:t xml:space="preserve">, however current research has focused on large macroalgae-rafts that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into account. The passive simulations deviated from passive particles trajectories when including varing levels of hydrodynamic and wind drag scenarios into account. The results from this study show the inclusion of hydrodynamic and wind drag improves entrainment patterns and as well our understanding of how surface area plays a role in solitary drifting macroalgae trajectory, in this case</w:t>
      </w:r>
      <w:r>
        <w:t xml:space="preserve"> </w:t>
      </w:r>
      <w:r>
        <w:rPr>
          <w:i/>
        </w:rPr>
        <w:t xml:space="preserve">E.maxima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@thiel2005;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ad-hoc wind drag (windage) is considered in combination with hydrodynamic drag the trajectories differ greatly when compared to purely lagrangian particle trajectories. The inclusion of wind drag causes the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 ad-hoc windage factors that was based on the surface current velocity to assess the approach for improving transport predictions of pelagic Sargassum. The results showed that including a ad-hoc windage factor in proving virtual trajectories to tracked Sargassum mats which was partly due to the inclusion of momemtum energy transfer from the wind. This is also reflected in the analysis comparing distances travelled by all the particles in each simulation. The particles in the simulations that included wind drag traveled significantly greater distances compared to the passive or hydrodynamic only drag.</w:t>
      </w:r>
    </w:p>
    <w:p>
      <w:pPr>
        <w:pStyle w:val="BodyText"/>
      </w:pPr>
      <w:r>
        <w:t xml:space="preserve">The addition of drag forces into the simulation also causes the particles to cluster together along the mean trajectory compared to that of the passive particles which are more evenly dispersed. This is most likely due to the shared drag characteristics among the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cuboids to compare to investigate the effect of inertia on particles dynamics. The results from the study showed that objects tended to cluster according to the shape of the object which the authors attributed to shared characteristics of inertia. Although drag forces were used in this study and not inertia, the same conclusion applies, drag is an important characteristic to consider when investigating or predicting solitary drifting macrolagae.</w:t>
      </w:r>
    </w:p>
    <w:p>
      <w:pPr>
        <w:pStyle w:val="BodyText"/>
      </w:pPr>
      <w:r>
        <w:t xml:space="preserve">The ocean is made up of varying time-varying flows and changes in an objects velocity can cause the object to be exposed to different flow patterns over time. The lack of dissimilarity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hatchlings trajectories are mostly influenced by the ocean currents in the first year of hatching due to low swimming speeds of juveniles. Therefore, the differences in cross-sectional area types may not be significant enough in order to have a significant effect on the relevant velocity vectors (zonal and meridonal).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suggests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fairly high density of particles entrained in a vortex. The entrainment and expulsion from eddies and vortices is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 Sargassum rafts. However, the aforementioned studies investigated large rafts and not floating individuals. Inertia is based on the size/weight of the raft, while hydrodynamic and wind drag are based on current velocity and surface area. Therefore, the role of inertia may be negligible for a solitary individual and rather other forms of drag should be considered. The results from this study suggest that the inclusion of hydrodynamic and/or wind drag is an important component when simulating virtual kelp particles will greatly increase the accuracy of entrainment and expulsion from sub-grid mesoscale oceanographic features, such as eddies and vortices. The use of a cylindrical shape coefficient instead of a sphere in the calculation of drag force also had no effect on the mean trajectory. Instead, the inclusion of a differnt shape coefficient increased to the density of particles entrained in an eddy field. This suggest that inclusion of different shape coefficients play a role in further improving estmiates and hindcasts of macroalgal disperal patterns.</w:t>
      </w:r>
    </w:p>
    <w:p>
      <w:pPr>
        <w:pStyle w:val="Heading1"/>
      </w:pPr>
      <w:bookmarkStart w:id="41" w:name="conclusion"/>
      <w:r>
        <w:t xml:space="preserve">Conclusion</w:t>
      </w:r>
      <w:bookmarkEnd w:id="41"/>
    </w:p>
    <w:p>
      <w:pPr>
        <w:pStyle w:val="FirstParagraph"/>
      </w:pPr>
      <w:r>
        <w:t xml:space="preserve">Most of the past research has focused on large macroalgae rafts which can vary greatly in size and shape, however no research exists attempting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
        </w:rPr>
        <w:t xml:space="preserve">E. maxima</w:t>
      </w:r>
      <w:r>
        <w:t xml:space="preserve"> </w:t>
      </w:r>
      <w:r>
        <w:t xml:space="preserve">particles do tend to follow the prevailing surface currents but that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neglible when investigating dispersal patterns of drifting</w:t>
      </w:r>
      <w:r>
        <w:t xml:space="preserve"> </w:t>
      </w:r>
      <w:r>
        <w:rPr>
          <w:i/>
        </w:rPr>
        <w:t xml:space="preserve">E.maxima</w:t>
      </w:r>
      <w:r>
        <w:t xml:space="preserve">. In addition, the use of a cylindrical shape coefficient has no effect on mean trajectory but also causes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floating solitary macroalgae, provided the surface area can be estimated accurately. However, more gaps in the research exist when considering what oceanographic processes play a role in solitary macroalgal dispersal as well as how these change seasonally. The identification of biological and physical factors that play a role in accumulation zones is also needed, as well as better estimates for sinking rates and raft-times.</w:t>
      </w:r>
    </w:p>
    <w:p>
      <w:pPr>
        <w:pStyle w:val="Heading1"/>
      </w:pPr>
      <w:bookmarkStart w:id="42" w:name="appendix"/>
      <w:r>
        <w:t xml:space="preserve">Appendix</w:t>
      </w:r>
      <w:bookmarkEnd w:id="42"/>
    </w:p>
    <w:p>
      <w:pPr>
        <w:pStyle w:val="Heading2"/>
      </w:pPr>
      <w:bookmarkStart w:id="43" w:name="domain-features"/>
      <w:r>
        <w:t xml:space="preserve">Domain features</w:t>
      </w:r>
      <w:bookmarkEnd w:id="43"/>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45" w:name="references"/>
      <w:r>
        <w:t xml:space="preserve">References</w:t>
      </w:r>
      <w:bookmarkEnd w:id="45"/>
    </w:p>
    <w:bookmarkStart w:id="98" w:name="refs"/>
    <w:bookmarkStart w:id="46" w:name="ref-allen1999"/>
    <w:p>
      <w:pPr>
        <w:pStyle w:val="Bibliography"/>
      </w:pPr>
      <w:r>
        <w:t xml:space="preserve">Allen, A., and Plourde, J. (1999). Review of leeway: Field experiments and implementation. US coast guard rep.</w:t>
      </w:r>
    </w:p>
    <w:bookmarkEnd w:id="46"/>
    <w:bookmarkStart w:id="48" w:name="ref-andersson2017"/>
    <w:p>
      <w:pPr>
        <w:pStyle w:val="Bibliography"/>
      </w:pPr>
      <w:r>
        <w:t xml:space="preserve">Andersson, L. E., Scibilia, F., and Imsland, L. (2017). A study on an iceberg drift trajectory. 8. doi:</w:t>
      </w:r>
      <w:hyperlink r:id="rId47">
        <w:r>
          <w:rPr>
            <w:rStyle w:val="Hyperlink"/>
          </w:rPr>
          <w:t xml:space="preserve">10.1115/OMAE2017-62159</w:t>
        </w:r>
      </w:hyperlink>
      <w:r>
        <w:t xml:space="preserve">.</w:t>
      </w:r>
    </w:p>
    <w:bookmarkEnd w:id="48"/>
    <w:bookmarkStart w:id="50"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49">
        <w:r>
          <w:rPr>
            <w:rStyle w:val="Hyperlink"/>
          </w:rPr>
          <w:t xml:space="preserve">10.3390/d10010011</w:t>
        </w:r>
      </w:hyperlink>
      <w:r>
        <w:t xml:space="preserve">.</w:t>
      </w:r>
    </w:p>
    <w:bookmarkEnd w:id="50"/>
    <w:bookmarkStart w:id="51"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51"/>
    <w:bookmarkStart w:id="52"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2"/>
    <w:bookmarkStart w:id="53"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3"/>
    <w:bookmarkStart w:id="54" w:name="ref-bushing1994"/>
    <w:p>
      <w:pPr>
        <w:pStyle w:val="Bibliography"/>
      </w:pPr>
      <w:r>
        <w:t xml:space="preserve">Bushing, W. W. (1994). Biogeographic and ecological implications of kelp rafting as a dispersal vector for marine invertebrates. 22.</w:t>
      </w:r>
    </w:p>
    <w:bookmarkEnd w:id="54"/>
    <w:bookmarkStart w:id="55"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55"/>
    <w:bookmarkStart w:id="56"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56"/>
    <w:bookmarkStart w:id="58"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57">
        <w:r>
          <w:rPr>
            <w:rStyle w:val="Hyperlink"/>
          </w:rPr>
          <w:t xml:space="preserve">10.1146/annurev.es.16.110185.001243</w:t>
        </w:r>
      </w:hyperlink>
      <w:r>
        <w:t xml:space="preserve">.</w:t>
      </w:r>
    </w:p>
    <w:bookmarkEnd w:id="58"/>
    <w:bookmarkStart w:id="59"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59"/>
    <w:bookmarkStart w:id="60"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60"/>
    <w:bookmarkStart w:id="61"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61"/>
    <w:bookmarkStart w:id="62"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2"/>
    <w:bookmarkStart w:id="63" w:name="ref-fossette2012"/>
    <w:p>
      <w:pPr>
        <w:pStyle w:val="Bibliography"/>
      </w:pPr>
      <w:r>
        <w:t xml:space="preserve">Fossette, S., Putman, N. F., Lohmann, K. J., Marsh, R., and Hays, G. C. (2012). A biologist’s guide to assessing ocean currents: A review.</w:t>
      </w:r>
      <w:r>
        <w:t xml:space="preserve"> </w:t>
      </w:r>
      <w:r>
        <w:rPr>
          <w:i/>
        </w:rPr>
        <w:t xml:space="preserve">Marine Ecology Progress Series</w:t>
      </w:r>
      <w:r>
        <w:t xml:space="preserve"> </w:t>
      </w:r>
      <w:r>
        <w:t xml:space="preserve">457, 285–301.</w:t>
      </w:r>
    </w:p>
    <w:bookmarkEnd w:id="63"/>
    <w:bookmarkStart w:id="64"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64"/>
    <w:bookmarkStart w:id="65"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65"/>
    <w:bookmarkStart w:id="66"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66"/>
    <w:bookmarkStart w:id="67" w:name="ref-hackett2006"/>
    <w:p>
      <w:pPr>
        <w:pStyle w:val="Bibliography"/>
      </w:pPr>
      <w:r>
        <w:t xml:space="preserve">Hackett, B., Breivik, Ø., and Wettre, C. (2006). Forecasting the drift of objects and substances in the ocean. 507–523.</w:t>
      </w:r>
    </w:p>
    <w:bookmarkEnd w:id="67"/>
    <w:bookmarkStart w:id="68"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68"/>
    <w:bookmarkStart w:id="69"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69"/>
    <w:bookmarkStart w:id="71"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70">
        <w:r>
          <w:rPr>
            <w:rStyle w:val="Hyperlink"/>
          </w:rPr>
          <w:t xml:space="preserve">10.1007/BF00680216</w:t>
        </w:r>
      </w:hyperlink>
      <w:r>
        <w:t xml:space="preserve">.</w:t>
      </w:r>
    </w:p>
    <w:bookmarkEnd w:id="71"/>
    <w:bookmarkStart w:id="73"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72">
        <w:r>
          <w:rPr>
            <w:rStyle w:val="Hyperlink"/>
          </w:rPr>
          <w:t xml:space="preserve">10.1016/S0022-0981(00)00255-0</w:t>
        </w:r>
      </w:hyperlink>
      <w:r>
        <w:t xml:space="preserve">.</w:t>
      </w:r>
    </w:p>
    <w:bookmarkEnd w:id="73"/>
    <w:bookmarkStart w:id="74"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74"/>
    <w:bookmarkStart w:id="75"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75"/>
    <w:bookmarkStart w:id="76"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
        </w:rPr>
        <w:t xml:space="preserve">Ecological Modelling</w:t>
      </w:r>
      <w:r>
        <w:t xml:space="preserve"> </w:t>
      </w:r>
      <w:r>
        <w:t xml:space="preserve">431, 109130.</w:t>
      </w:r>
    </w:p>
    <w:bookmarkEnd w:id="76"/>
    <w:bookmarkStart w:id="77"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77"/>
    <w:bookmarkStart w:id="78"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78"/>
    <w:bookmarkStart w:id="79"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79"/>
    <w:bookmarkStart w:id="80"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
        </w:rPr>
        <w:t xml:space="preserve">Geophysical Research Letters</w:t>
      </w:r>
      <w:r>
        <w:t xml:space="preserve"> </w:t>
      </w:r>
      <w:r>
        <w:t xml:space="preserve">47, e2020GL089874.</w:t>
      </w:r>
    </w:p>
    <w:bookmarkEnd w:id="80"/>
    <w:bookmarkStart w:id="82"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81">
        <w:r>
          <w:rPr>
            <w:rStyle w:val="Hyperlink"/>
          </w:rPr>
          <w:t xml:space="preserve">10.1098/rsbl.2012.0821</w:t>
        </w:r>
      </w:hyperlink>
      <w:r>
        <w:t xml:space="preserve">.</w:t>
      </w:r>
    </w:p>
    <w:bookmarkEnd w:id="82"/>
    <w:bookmarkStart w:id="83"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83"/>
    <w:bookmarkStart w:id="84"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
        </w:rPr>
        <w:t xml:space="preserve">Physics of Fluids</w:t>
      </w:r>
      <w:r>
        <w:t xml:space="preserve"> </w:t>
      </w:r>
      <w:r>
        <w:t xml:space="preserve">32, 026601.</w:t>
      </w:r>
    </w:p>
    <w:bookmarkEnd w:id="84"/>
    <w:bookmarkStart w:id="85"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85"/>
    <w:bookmarkStart w:id="86"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86"/>
    <w:bookmarkStart w:id="87"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87"/>
    <w:bookmarkStart w:id="89"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88">
        <w:r>
          <w:rPr>
            <w:rStyle w:val="Hyperlink"/>
          </w:rPr>
          <w:t xml:space="preserve">10.1111/jpy.12237</w:t>
        </w:r>
      </w:hyperlink>
      <w:r>
        <w:t xml:space="preserve">.</w:t>
      </w:r>
    </w:p>
    <w:bookmarkEnd w:id="89"/>
    <w:bookmarkStart w:id="91"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90">
        <w:r>
          <w:rPr>
            <w:rStyle w:val="Hyperlink"/>
          </w:rPr>
          <w:t xml:space="preserve">10.1046/j.1466-822X.2001.00259.x</w:t>
        </w:r>
      </w:hyperlink>
      <w:r>
        <w:t xml:space="preserve">.</w:t>
      </w:r>
    </w:p>
    <w:bookmarkEnd w:id="91"/>
    <w:bookmarkStart w:id="93"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92">
        <w:r>
          <w:rPr>
            <w:rStyle w:val="Hyperlink"/>
          </w:rPr>
          <w:t xml:space="preserve">10.1007/s00227-013-2186-8</w:t>
        </w:r>
      </w:hyperlink>
      <w:r>
        <w:t xml:space="preserve">.</w:t>
      </w:r>
    </w:p>
    <w:bookmarkEnd w:id="93"/>
    <w:bookmarkStart w:id="94"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94"/>
    <w:bookmarkStart w:id="95"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95"/>
    <w:bookmarkStart w:id="97"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96">
        <w:r>
          <w:rPr>
            <w:rStyle w:val="Hyperlink"/>
          </w:rPr>
          <w:t xml:space="preserve">10.1007/s00227-012-1990-x</w:t>
        </w:r>
      </w:hyperlink>
      <w:r>
        <w:t xml:space="preserve">.</w:t>
      </w:r>
    </w:p>
    <w:bookmarkEnd w:id="97"/>
    <w:bookmarkEnd w:id="98"/>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hyperlink" Id="rId70" Target="https://doi.org/10.1007/BF00680216" TargetMode="External" /><Relationship Type="http://schemas.openxmlformats.org/officeDocument/2006/relationships/hyperlink" Id="rId96" Target="https://doi.org/10.1007/s00227-012-1990-x" TargetMode="External" /><Relationship Type="http://schemas.openxmlformats.org/officeDocument/2006/relationships/hyperlink" Id="rId92" Target="https://doi.org/10.1007/s00227-013-2186-8" TargetMode="External" /><Relationship Type="http://schemas.openxmlformats.org/officeDocument/2006/relationships/hyperlink" Id="rId72" Target="https://doi.org/10.1016/S0022-0981(00)00255-0" TargetMode="External" /><Relationship Type="http://schemas.openxmlformats.org/officeDocument/2006/relationships/hyperlink" Id="rId90" Target="https://doi.org/10.1046/j.1466-822X.2001.00259.x" TargetMode="External" /><Relationship Type="http://schemas.openxmlformats.org/officeDocument/2006/relationships/hyperlink" Id="rId81" Target="https://doi.org/10.1098/rsbl.2012.0821" TargetMode="External" /><Relationship Type="http://schemas.openxmlformats.org/officeDocument/2006/relationships/hyperlink" Id="rId8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70" Target="https://doi.org/10.1007/BF00680216" TargetMode="External" /><Relationship Type="http://schemas.openxmlformats.org/officeDocument/2006/relationships/hyperlink" Id="rId96" Target="https://doi.org/10.1007/s00227-012-1990-x" TargetMode="External" /><Relationship Type="http://schemas.openxmlformats.org/officeDocument/2006/relationships/hyperlink" Id="rId92" Target="https://doi.org/10.1007/s00227-013-2186-8" TargetMode="External" /><Relationship Type="http://schemas.openxmlformats.org/officeDocument/2006/relationships/hyperlink" Id="rId72" Target="https://doi.org/10.1016/S0022-0981(00)00255-0" TargetMode="External" /><Relationship Type="http://schemas.openxmlformats.org/officeDocument/2006/relationships/hyperlink" Id="rId90" Target="https://doi.org/10.1046/j.1466-822X.2001.00259.x" TargetMode="External" /><Relationship Type="http://schemas.openxmlformats.org/officeDocument/2006/relationships/hyperlink" Id="rId81" Target="https://doi.org/10.1098/rsbl.2012.0821" TargetMode="External" /><Relationship Type="http://schemas.openxmlformats.org/officeDocument/2006/relationships/hyperlink" Id="rId8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57" Target="https://doi.org/10.1146/annurev.es.16.110185.001243" TargetMode="External" /><Relationship Type="http://schemas.openxmlformats.org/officeDocument/2006/relationships/hyperlink" Id="rId49"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Ross Coppin</dc:creator>
  <cp:keywords/>
  <dcterms:created xsi:type="dcterms:W3CDTF">2021-01-11T17:01:12Z</dcterms:created>
  <dcterms:modified xsi:type="dcterms:W3CDTF">2021-01-11T17:01:12Z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