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23.png" ContentType="image/png"/>
  <Override PartName="/word/media/rId33.png" ContentType="image/png"/>
  <Override PartName="/word/media/rId3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expressed mathematically by</w:t>
      </w:r>
      <w:r>
        <w:t xml:space="preserve"> </w:t>
      </w:r>
      <m:oMath>
        <m:r>
          <m:t>ψ</m:t>
        </m:r>
        <m:r>
          <m:t>=</m:t>
        </m:r>
        <m:r>
          <m:t>s</m:t>
        </m:r>
        <m:r>
          <m:t>/</m:t>
        </m:r>
        <m:sSub>
          <m:e>
            <m:r>
              <m:t>s</m:t>
            </m:r>
          </m:e>
          <m:sub>
            <m:r>
              <m:t>d</m:t>
            </m:r>
          </m:sub>
        </m:sSub>
      </m:oMath>
      <w:r>
        <w:t xml:space="preserve">, and the ratio of the surface area of a sphere having the volume as the irregular shaped particle (</w:t>
      </w:r>
      <m:oMath>
        <m:r>
          <m:t>s</m:t>
        </m:r>
      </m:oMath>
      <w:r>
        <w:t xml:space="preserve">) to the actual surface area of the particle (</w:t>
      </w:r>
      <m:oMath>
        <m:sSub>
          <m:e>
            <m:r>
              <m:t>s</m:t>
            </m:r>
          </m:e>
          <m:sub>
            <m:r>
              <m:t>d</m:t>
            </m:r>
          </m:sub>
        </m:sSub>
      </m:oMath>
      <w:r>
        <w:t xml:space="preserve">). The values are dependent on the shape of the object and a range of values have been determined based on numerous experimental work.</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In this study, a numerical approach is used to shed light on the role of water and direct wind drag on macroalgal drift trajectory using lagrangian based trajectory simulations. This will be achieved by comparing the trajectory outputs of virtual</w:t>
      </w:r>
      <w:r>
        <w:t xml:space="preserve"> </w:t>
      </w:r>
      <w:r>
        <w:t xml:space="preserve">‘</w:t>
      </w:r>
      <w:r>
        <w:t xml:space="preserve">passive</w:t>
      </w:r>
      <w:r>
        <w:t xml:space="preserve">’</w:t>
      </w:r>
      <w:r>
        <w:t xml:space="preserve"> </w:t>
      </w:r>
      <w:r>
        <w:t xml:space="preserve">particles (no drag characteristics added) with kelp particles (drag characteristics added) of varying degrees of water and wind drag exposure. The different degrees of wave and wind exposure are meant to reflect the different buoyancy characteristics, as well as identify the role of magnitude of the drag components on overall trajectory.</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t xml:space="preserve">The region of interest for this study was the Cape Peninsula in the Western Cape, South Africa. This was further sub-divided into two domains, the Atlantic domain and False Bay domain (see figure</w:t>
      </w:r>
      <w:r>
        <w:t xml:space="preserve"> </w:t>
      </w:r>
      <w:r>
        <w:t xml:space="preserve">A). One release site is located in each of the domains, namely Kommetjie in the Atlantic and Buffelsbaai in False Bay (see figure</w:t>
      </w:r>
      <w:r>
        <w:t xml:space="preserve"> </w:t>
      </w:r>
      <w:r>
        <w:t xml:space="preserve">B). The hydrodynamics between the two domains are driven by a complex interaction of wind and wave vectors, with wind driven processes primarily occurring in False Bay. For a more detailed explanation of the hydrodynamics of these two domains the reader is referred to</w:t>
      </w:r>
      <w:r>
        <w:t xml:space="preserve"> </w:t>
      </w:r>
      <w:r>
        <w:t xml:space="preserve">Coppin et al. (2020)</w:t>
      </w:r>
      <w:r>
        <w:t xml:space="preserve">. The hydrodynamic characteristics of these regions are also influenced by larger oceanic processes, which in South Africa can largely be attributed to the Agulhas Current (AC) and the Benguela Current (BC). The AC is a component of the South-west Indian Ocean sub-gyre, flowing predominantly southwestward following the continental shelf edge and eventually retroflecting eastward back into the South Indian Ocean.</w:t>
      </w:r>
    </w:p>
    <w:p>
      <w:pPr>
        <w:pStyle w:val="CaptionedFigure"/>
      </w:pPr>
      <w:r>
        <w:drawing>
          <wp:inline>
            <wp:extent cx="4620126" cy="3696101"/>
            <wp:effectExtent b="0" l="0" r="0" t="0"/>
            <wp:docPr descr="Map of the study area and sampling sites. The blue shaded area is the Atlantic region and the red shaded region is the False Bay region." title="" id="1" name="Picture"/>
            <a:graphic>
              <a:graphicData uri="http://schemas.openxmlformats.org/drawingml/2006/picture">
                <pic:pic>
                  <pic:nvPicPr>
                    <pic:cNvPr descr="thesis_chapter_3_files/figure-docx/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and sampling sites. The blue shaded area is the Atlantic region and the red shaded region is the False Bay region.</w:t>
      </w:r>
    </w:p>
    <w:p>
      <w:pPr>
        <w:pStyle w:val="Heading2"/>
      </w:pPr>
      <w:bookmarkStart w:id="24" w:name="particle-tracking-model"/>
      <w:r>
        <w:t xml:space="preserve">Particle tracking model</w:t>
      </w:r>
      <w:bookmarkEnd w:id="24"/>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only olitary</w:t>
      </w:r>
      <w:r>
        <w:t xml:space="preserve"> </w:t>
      </w:r>
      <w:r>
        <w:rPr>
          <w:i/>
        </w:rPr>
        <w:t xml:space="preserve">E. maxima</w:t>
      </w:r>
      <w:r>
        <w:t xml:space="preserve"> </w:t>
      </w:r>
      <w:r>
        <w:t xml:space="preserve">individuals will be considered. 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seawater drag; and the other where parts of the plants are partially exposed resulting in a combination of seawater and air form drag. Drag based on shape based coefficients were used in the calculations for determining the overall kelp velocity vectors.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d</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d</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for each time step for each simulation.</w:t>
      </w:r>
    </w:p>
    <w:p>
      <w:pPr>
        <w:pStyle w:val="Heading2"/>
      </w:pPr>
      <w:bookmarkStart w:id="25" w:name="hydrodynamic-and-wind-model"/>
      <w:r>
        <w:t xml:space="preserve">Hydrodynamic and wind model</w:t>
      </w:r>
      <w:bookmarkEnd w:id="25"/>
    </w:p>
    <w:p>
      <w:pPr>
        <w:pStyle w:val="FirstParagraph"/>
      </w:pPr>
      <w:r>
        <w:t xml:space="preserve">Both passive and kelp particles were simulated around the South African coastline within hind-cast outputs from the Copernicus Marine Environment Monitoring Service. The Copernicus outputs used in this study contains 3D daily current information from the top layer to the bottom (Global Analysis Forecast PHY_001_024). The model has a spatial resolution of 0.08</w:t>
      </w:r>
      <m:oMath>
        <m:sSup>
          <m:e>
            <m:r>
              <m:t>​</m:t>
            </m:r>
          </m:e>
          <m:sup>
            <m:r>
              <m:t>∘</m:t>
            </m:r>
          </m:sup>
        </m:sSup>
      </m:oMath>
      <w:r>
        <w:t xml:space="preserve"> </w:t>
      </w:r>
      <w:r>
        <w:t xml:space="preserve">and is interpolated on a Arakawa C native grid.</w:t>
      </w:r>
    </w:p>
    <w:p>
      <w:pPr>
        <w:pStyle w:val="BodyText"/>
      </w:pPr>
      <w:r>
        <w:t xml:space="preserve">In order to incorporate the effects of direct wind drag within the simulations, the Copernicus Marine Environment Monitoring Service global wind product was used (WIND_L4_NRT_OBSERVATIONS_012_004). The outputs from the model is composed of 6-hourly averaged fields of surface 10m wind velocity vectors with a spatial resolution of 0.25</w:t>
      </w:r>
      <m:oMath>
        <m:sSup>
          <m:e>
            <m:r>
              <m:t>​</m:t>
            </m:r>
          </m:e>
          <m:sup>
            <m:r>
              <m:t>∘</m:t>
            </m:r>
          </m:sup>
        </m:sSup>
      </m:oMath>
      <w:r>
        <w:t xml:space="preserve">. Both averaged ocean current and wind data are stored as meridonal and zonal velocity vectors.</w:t>
      </w:r>
    </w:p>
    <w:p>
      <w:pPr>
        <w:pStyle w:val="Heading2"/>
      </w:pPr>
      <w:bookmarkStart w:id="26" w:name="simulations"/>
      <w:r>
        <w:t xml:space="preserve">Simulations</w:t>
      </w:r>
      <w:bookmarkEnd w:id="26"/>
    </w:p>
    <w:p>
      <w:pPr>
        <w:pStyle w:val="FirstParagraph"/>
      </w:pPr>
      <w:r>
        <w:t xml:space="preserve">Virtual particles were released with no drag or wind effects from the study site in order to act as a basis for comparison to simulations with varying degrees of hydrodynamic and wind drag, and are refferred to hereafter as</w:t>
      </w:r>
      <w:r>
        <w:t xml:space="preserve"> </w:t>
      </w:r>
      <w:r>
        <w:t xml:space="preserve">‘</w:t>
      </w:r>
      <w:r>
        <w:t xml:space="preserve">passive particles</w:t>
      </w:r>
      <w:r>
        <w:t xml:space="preserve">’</w:t>
      </w:r>
      <w:r>
        <w:t xml:space="preserve">. All simulations have the same release location and were run for 30 days with hourly outputs using a fourth order Runge-Kutte advection scheme. Brownian motion was also incorporated in order to account for any stochasticity not resolved by the model. These are standard practices for Lagrangian trajectory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Type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Cross-sectional area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Drag Exposure level</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Passive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only</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95%, wind drag 5%</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90%, wind drag 10%</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Kelp</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Maximum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Hydrodynamic drag 85%, wind drag 15%</w:t>
            </w:r>
          </w:p>
        </w:tc>
      </w:tr>
    </w:tbl>
    <w:p>
      <w:pPr>
        <w:pStyle w:val="BodyText"/>
      </w:pPr>
      <w:r>
        <w:t xml:space="preserve">In order to determine the influence of cross-sectional area on drag components, simulations were performed for the minimum, mean and maximum cross-sectional areas for Kommetjie kelp forest population (see figure</w:t>
      </w:r>
      <w:r>
        <w:t xml:space="preserve"> </w:t>
      </w:r>
      <w:r>
        <w:t xml:space="preserve">). In order to determine the direct effect of wind on trajectory, simulations were run for varying magnitudes of wind exposure for each type of cross-sectional area. The virtual particles released with the hydrodynamic or wind drag components are referred to as</w:t>
      </w:r>
      <w:r>
        <w:t xml:space="preserve"> </w:t>
      </w:r>
      <w:r>
        <w:t xml:space="preserve">‘</w:t>
      </w:r>
      <w:r>
        <w:t xml:space="preserve">kelp particles</w:t>
      </w:r>
      <w:r>
        <w:t xml:space="preserve">’</w:t>
      </w:r>
      <w:r>
        <w:t xml:space="preserve">.</w:t>
      </w:r>
    </w:p>
    <w:p>
      <w:pPr>
        <w:pStyle w:val="Heading2"/>
      </w:pPr>
      <w:bookmarkStart w:id="27" w:name="model-inputs"/>
      <w:r>
        <w:t xml:space="preserve">Model inputs</w:t>
      </w:r>
      <w:bookmarkEnd w:id="27"/>
    </w:p>
    <w:p>
      <w:pPr>
        <w:pStyle w:val="Heading3"/>
      </w:pPr>
      <w:bookmarkStart w:id="28" w:name="cross-sectional-area"/>
      <w:r>
        <w:t xml:space="preserve">Cross-sectional area</w:t>
      </w:r>
      <w:bookmarkEnd w:id="28"/>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see image/table ???. The dimensional data needed was estimated in cases were data was not available for that particular morphological characteristic. The bulb/pneumatocyst is a highly variable morphological characteristic and in some cases can appear absent, the same is true for the holdfast. Therefore, the cross-sectional area of the bulb/pneumatocyst was not considered in the calculation of overall cross-sectional area. In terms of the holdfast, a standard cross-sectional area was used for simulations where the inclusion of the holdfast was considered. The cross-sectional area calculated was site specific and the dimensions needed were garnered from morphology data from a previous study</w:t>
      </w:r>
      <w:r>
        <w:t xml:space="preserve"> </w:t>
      </w:r>
      <w:r>
        <w:t xml:space="preserve">(Coppin et al., 2020)</w:t>
      </w:r>
      <w:r>
        <w:t xml:space="preserve">. The minimum, mean and maximum were calculated for each morphological characteristic (see appendix), which were used for calculating the overall minimum, mean and maximum cross-sectional areas needed to run the various simulations. The trajectory of these</w:t>
      </w:r>
      <w:r>
        <w:t xml:space="preserve"> </w:t>
      </w:r>
      <w:r>
        <w:t xml:space="preserve">“</w:t>
      </w:r>
      <w:r>
        <w:t xml:space="preserve">types</w:t>
      </w:r>
      <w:r>
        <w:t xml:space="preserve">”</w:t>
      </w:r>
      <w:r>
        <w:t xml:space="preserve"> </w:t>
      </w:r>
      <w:r>
        <w:t xml:space="preserve">of cross-sectional areas (minimum, mean and maximum overall cross-sectional area) were used to determine the influence of drag, both hydrodynamic and wind, on overall trajectory.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characteristic</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Approximate shape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Equation Used</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Plant dimensions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Minimum</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Mean</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 Maximum</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Secondary blade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Rectangle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2lw + 2lh + 2wh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frond length, frond width*,frond thickness*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1,136</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blade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Rhombus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(lxb)/2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length, primary width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Bulb/pneomatocyst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Capsule</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4?r2 + 2?rh</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bulb length*, bulb base radius*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Cylinder</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2?r(r + 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stipe radius from stipe circumference, stipe length</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34,273</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Holdfast area</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Conical frustrum</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 = ?(R2 + r2) + ?(R+r)?(R-r)2 + h2</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 radius*, bottom radius*, height*</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(centimeters)</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12,297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22,861</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38,628</w:t>
            </w:r>
          </w:p>
        </w:tc>
      </w:tr>
      <w:tr>
        <w:trPr>
          <w:cantSplit/>
          <w:trHeight w:val="360" w:hRule="auto"/>
        </w:trPr>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area (meters)</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c>
          <w:tcPr>
            <w:tcBorders/>
            <w:shd w:val="clear" w:color="auto" w:fill="EFEFE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mass (kg) = stipe mass + (frond mass x 6)</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weight (kg)</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r>
    </w:tbl>
    <w:p>
      <w:pPr>
        <w:pStyle w:val="Heading3"/>
      </w:pPr>
      <w:bookmarkStart w:id="29" w:name="hydrodynamic-and-wind-drag"/>
      <w:r>
        <w:t xml:space="preserve">Hydrodynamic and wind drag</w:t>
      </w:r>
      <w:bookmarkEnd w:id="29"/>
    </w:p>
    <w:p>
      <w:pPr>
        <w:pStyle w:val="FirstParagraph"/>
      </w:pPr>
      <w:r>
        <w:t xml:space="preserve">The use of a spherical shape coefficient was used in the approach to simulate the trajectory of solitary floating</w:t>
      </w:r>
      <w:r>
        <w:t xml:space="preserve"> </w:t>
      </w:r>
      <w:r>
        <w:rPr>
          <w:i/>
        </w:rPr>
        <w:t xml:space="preserve">E. maxima</w:t>
      </w:r>
      <w:r>
        <w:t xml:space="preserve">. The drag coefficient for a spherical particle was used in the calculation of hydrodynamic drag as the trajectory model assumes the particles are spherical. The cross-sectional area for each of each virtual plant was converted to the equivalent cross-sectional area for that of a sphere in the equation for calculating hydrodynamic drag:</w:t>
      </w:r>
      <w:r>
        <w:t xml:space="preserve"> </w:t>
      </w:r>
      <m:oMath>
        <m:sSub>
          <m:e>
            <m:r>
              <m:t>F</m:t>
            </m:r>
          </m:e>
          <m:sub>
            <m:r>
              <m:t>d</m:t>
            </m:r>
          </m:sub>
        </m:sSub>
        <m:r>
          <m:t>=</m:t>
        </m:r>
        <m:r>
          <m:t>0.5</m:t>
        </m:r>
        <m:r>
          <m:t>ρ</m:t>
        </m:r>
        <m:sSub>
          <m:e>
            <m:r>
              <m:t>A</m:t>
            </m:r>
          </m:e>
          <m:sub>
            <m:r>
              <m:t>c</m:t>
            </m:r>
          </m:sub>
        </m:sSub>
        <m:sSub>
          <m:e>
            <m:r>
              <m:t>C</m:t>
            </m:r>
          </m:e>
          <m:sub>
            <m:r>
              <m:t>d</m:t>
            </m:r>
          </m:sub>
        </m:sSub>
        <m:sSup>
          <m:e>
            <m:r>
              <m:t>U</m:t>
            </m:r>
          </m:e>
          <m:sup>
            <m:r>
              <m:t>2</m:t>
            </m:r>
          </m:sup>
        </m:sSup>
      </m:oMath>
      <w:r>
        <w:t xml:space="preserve">, where</w:t>
      </w:r>
      <w:r>
        <w:t xml:space="preserve"> </w:t>
      </w:r>
      <m:oMath>
        <m:r>
          <m:t>ρ</m:t>
        </m:r>
      </m:oMath>
      <w:r>
        <w:t xml:space="preserve"> </w:t>
      </w:r>
      <w:r>
        <w:t xml:space="preserve">is the density of seawater or air,</w:t>
      </w:r>
      <w:r>
        <w:t xml:space="preserve"> </w:t>
      </w:r>
      <m:oMath>
        <m:sSub>
          <m:e>
            <m:r>
              <m:t>A</m:t>
            </m:r>
          </m:e>
          <m:sub>
            <m:r>
              <m:t>c</m:t>
            </m:r>
          </m:sub>
        </m:sSub>
      </m:oMath>
      <w:r>
        <w:t xml:space="preserve"> </w:t>
      </w:r>
      <w:r>
        <w:t xml:space="preserve">is the cross-sectional area exposed to water or wind drag,</w:t>
      </w:r>
      <w:r>
        <w:t xml:space="preserve"> </w:t>
      </w:r>
      <m:oMath>
        <m:sSub>
          <m:e>
            <m:r>
              <m:t>C</m:t>
            </m:r>
          </m:e>
          <m:sub>
            <m:r>
              <m:t>d</m:t>
            </m:r>
          </m:sub>
        </m:sSub>
      </m:oMath>
      <w:r>
        <w:t xml:space="preserve"> </w:t>
      </w:r>
      <w:r>
        <w:t xml:space="preserve">is the drag coefficient for a spherical particle and</w:t>
      </w:r>
      <w:r>
        <w:t xml:space="preserve"> </w:t>
      </w:r>
      <m:oMath>
        <m:r>
          <m:t>U</m:t>
        </m:r>
      </m:oMath>
      <w:r>
        <w:t xml:space="preserve"> </w:t>
      </w:r>
      <w:r>
        <w:t xml:space="preserve">is the surface velocity vector of the flow-/wind- field. Water and wind drag components were calculated separately for both the meridonal and zonal velocity vectors. Since drag force is dependent on the velocity vectors which vary with time, the meridonal and zonal velocities were interpolated and used in the drag force calculation for each time-step. A similar approach was used for the wind drag force. The same equation that was used to calculate hydrodynamic drag, was used to calculate the wind drag the virtual particle.</w:t>
      </w:r>
    </w:p>
    <w:p>
      <w:pPr>
        <w:pStyle w:val="BodyText"/>
      </w:pPr>
      <w:r>
        <w:t xml:space="preserve">To test the different magnitudes that hydrodynamic and wind drag might play in the overall trajectory, simulations were run with varying degrees of drag exposure scenarios. These scenarios were meant to act as proxy for buoyancy, which determines the surface area exposed to hydrodynamic and wind drag. These estimates were expressed as percentages which were used to calculate hydrodynamic and wind drag for applicable simulation. For example, if 80% of the plant is submerged and 20% of above water, then the overall hydrodynamic and wind drag forces would be 80% and 20% of the total drag forces respectively. The exposure scenarios used in this study were 100%, 95%, 90%, and 85% for water drag; 0 %, 5%, 10%, and 15% for wind.</w:t>
      </w:r>
    </w:p>
    <w:p>
      <w:pPr>
        <w:pStyle w:val="Heading2"/>
      </w:pPr>
      <w:bookmarkStart w:id="30" w:name="analysis"/>
      <w:r>
        <w:t xml:space="preserve">Analysis</w:t>
      </w:r>
      <w:bookmarkEnd w:id="30"/>
    </w:p>
    <w:p>
      <w:pPr>
        <w:pStyle w:val="FirstParagraph"/>
      </w:pPr>
      <w:r>
        <w:t xml:space="preserve">In order to compare trajectories between cross-sectional area types and wind exposure scenarios, density distribution maps were produced. This approach is an effective for assessing pathways and ocean connectivity</w:t>
      </w:r>
      <w:r>
        <w:t xml:space="preserve"> </w:t>
      </w:r>
      <w:r>
        <w:t xml:space="preserve">(</w:t>
      </w:r>
      <w:r>
        <w:rPr>
          <w:b/>
        </w:rPr>
        <w:t xml:space="preserve">???</w:t>
      </w:r>
      <w:r>
        <w:t xml:space="preserve">)</w:t>
      </w:r>
      <w:r>
        <w:t xml:space="preserve">. In addition, mean trajectory was calculated and included in the density distribution maps to further aid in comparing simulation outputs. The distance that particles traveled was also measured and used to produce boxplots and scatterplots. Distance traveled from the release site can help reveal topographic steering and momentum energy transfer from the wind field to kelp particle</w:t>
      </w:r>
      <w:r>
        <w:t xml:space="preserve"> </w:t>
      </w:r>
      <w:r>
        <w:t xml:space="preserve">(</w:t>
      </w:r>
      <w:r>
        <w:rPr>
          <w:b/>
        </w:rPr>
        <w:t xml:space="preserve">???</w:t>
      </w:r>
      <w:r>
        <w:t xml:space="preserve">)</w:t>
      </w:r>
      <w:r>
        <w:t xml:space="preserve">. If the wind direction is in the same direction as the current the virtual particles will cover larger distances due to an increase in the velocity as a result of momentum energy transfer</w:t>
      </w:r>
      <w:r>
        <w:t xml:space="preserve"> </w:t>
      </w:r>
      <w:r>
        <w:t xml:space="preserve">(</w:t>
      </w:r>
      <w:r>
        <w:rPr>
          <w:b/>
        </w:rPr>
        <w:t xml:space="preserve">???</w:t>
      </w:r>
      <w:r>
        <w:t xml:space="preserve">; Putman et al., 2018, 2020)</w:t>
      </w:r>
      <w:r>
        <w:t xml:space="preserve">.</w:t>
      </w:r>
    </w:p>
    <w:p>
      <w:pPr>
        <w:pStyle w:val="Heading1"/>
      </w:pPr>
      <w:bookmarkStart w:id="31" w:name="results"/>
      <w:r>
        <w:t xml:space="preserve">Results</w:t>
      </w:r>
      <w:bookmarkEnd w:id="31"/>
    </w:p>
    <w:p>
      <w:pPr>
        <w:pStyle w:val="CaptionedFigure"/>
      </w:pPr>
      <w:r>
        <w:drawing>
          <wp:inline>
            <wp:extent cx="4620126" cy="3696101"/>
            <wp:effectExtent b="0" l="0" r="0" t="0"/>
            <wp:docPr descr="Comparison of density of particles within each grid cell for the end run time of each scenario."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Comparison of density of particles within each grid cell for the end run time of each scenario.</w:t>
      </w:r>
    </w:p>
    <w:p>
      <w:pPr>
        <w:pStyle w:val="BodyText"/>
      </w:pPr>
      <w:r>
        <w:drawing>
          <wp:inline>
            <wp:extent cx="4620126" cy="3696101"/>
            <wp:effectExtent b="0" l="0" r="0" t="0"/>
            <wp:docPr descr="" title="" id="1" name="Picture"/>
            <a:graphic>
              <a:graphicData uri="http://schemas.openxmlformats.org/drawingml/2006/picture">
                <pic:pic>
                  <pic:nvPicPr>
                    <pic:cNvPr descr="thesis_chapter_3_files/figure-docx/trajectory%20plo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thesis_chapter_3_files/figure-docx/distance%20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discussion"/>
      <w:r>
        <w:t xml:space="preserve">Discussion</w:t>
      </w:r>
      <w:bookmarkEnd w:id="35"/>
    </w:p>
    <w:p>
      <w:pPr>
        <w:pStyle w:val="Heading1"/>
      </w:pPr>
      <w:bookmarkStart w:id="36" w:name="appendix"/>
      <w:r>
        <w:t xml:space="preserve">Appendix</w:t>
      </w:r>
      <w:bookmarkEnd w:id="36"/>
    </w:p>
    <w:p>
      <w:pPr>
        <w:pStyle w:val="Heading1"/>
      </w:pPr>
      <w:bookmarkStart w:id="37" w:name="references"/>
      <w:r>
        <w:t xml:space="preserve">References</w:t>
      </w:r>
      <w:bookmarkEnd w:id="37"/>
    </w:p>
    <w:bookmarkStart w:id="84" w:name="refs"/>
    <w:bookmarkStart w:id="38" w:name="ref-allen1999"/>
    <w:p>
      <w:pPr>
        <w:pStyle w:val="Bibliography"/>
      </w:pPr>
      <w:r>
        <w:t xml:space="preserve">Allen, A., and Plourde, J. (1999). Review of leeway: Field experiments and implementation. US coast guard rep.</w:t>
      </w:r>
    </w:p>
    <w:bookmarkEnd w:id="38"/>
    <w:bookmarkStart w:id="40" w:name="ref-andersson2017"/>
    <w:p>
      <w:pPr>
        <w:pStyle w:val="Bibliography"/>
      </w:pPr>
      <w:r>
        <w:t xml:space="preserve">Andersson, L. E., Scibilia, F., and Imsland, L. (2017). A study on an iceberg drift trajectory. 8. doi:</w:t>
      </w:r>
      <w:hyperlink r:id="rId39">
        <w:r>
          <w:rPr>
            <w:rStyle w:val="Hyperlink"/>
          </w:rPr>
          <w:t xml:space="preserve">10.1115/OMAE2017-62159</w:t>
        </w:r>
      </w:hyperlink>
      <w:r>
        <w:t xml:space="preserve">.</w:t>
      </w:r>
    </w:p>
    <w:bookmarkEnd w:id="40"/>
    <w:bookmarkStart w:id="42"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41">
        <w:r>
          <w:rPr>
            <w:rStyle w:val="Hyperlink"/>
          </w:rPr>
          <w:t xml:space="preserve">10.3390/d10010011</w:t>
        </w:r>
      </w:hyperlink>
      <w:r>
        <w:t xml:space="preserve">.</w:t>
      </w:r>
    </w:p>
    <w:bookmarkEnd w:id="42"/>
    <w:bookmarkStart w:id="43"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43"/>
    <w:bookmarkStart w:id="44"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44"/>
    <w:bookmarkStart w:id="45"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45"/>
    <w:bookmarkStart w:id="46" w:name="ref-bushing1994"/>
    <w:p>
      <w:pPr>
        <w:pStyle w:val="Bibliography"/>
      </w:pPr>
      <w:r>
        <w:t xml:space="preserve">Bushing, W. W. (1994). Biogeographic and ecological implications of kelp rafting as a dispersal vector for marine invertebrates. 22.</w:t>
      </w:r>
    </w:p>
    <w:bookmarkEnd w:id="46"/>
    <w:bookmarkStart w:id="47"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47"/>
    <w:bookmarkStart w:id="48" w:name="ref-coppin2020"/>
    <w:p>
      <w:pPr>
        <w:pStyle w:val="Bibliography"/>
      </w:pPr>
      <w:r>
        <w:t xml:space="preserve">Coppin, R., Rautenbach, C., Ponton, T. J., and Smit, A. (2020). Investigating waves and temperature as drivers of kelp morphology.</w:t>
      </w:r>
      <w:r>
        <w:t xml:space="preserve"> </w:t>
      </w:r>
      <w:r>
        <w:rPr>
          <w:i/>
        </w:rPr>
        <w:t xml:space="preserve">Frontiers in Marine Science</w:t>
      </w:r>
      <w:r>
        <w:t xml:space="preserve"> </w:t>
      </w:r>
      <w:r>
        <w:t xml:space="preserve">7, 567.</w:t>
      </w:r>
    </w:p>
    <w:bookmarkEnd w:id="48"/>
    <w:bookmarkStart w:id="50"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49">
        <w:r>
          <w:rPr>
            <w:rStyle w:val="Hyperlink"/>
          </w:rPr>
          <w:t xml:space="preserve">10.1146/annurev.es.16.110185.001243</w:t>
        </w:r>
      </w:hyperlink>
      <w:r>
        <w:t xml:space="preserve">.</w:t>
      </w:r>
    </w:p>
    <w:bookmarkEnd w:id="50"/>
    <w:bookmarkStart w:id="51"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51"/>
    <w:bookmarkStart w:id="52"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52"/>
    <w:bookmarkStart w:id="53"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53"/>
    <w:bookmarkStart w:id="54"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54"/>
    <w:bookmarkStart w:id="55"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55"/>
    <w:bookmarkStart w:id="56"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56"/>
    <w:bookmarkStart w:id="57"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57"/>
    <w:bookmarkStart w:id="58"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58"/>
    <w:bookmarkStart w:id="60"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59">
        <w:r>
          <w:rPr>
            <w:rStyle w:val="Hyperlink"/>
          </w:rPr>
          <w:t xml:space="preserve">10.1007/BF00680216</w:t>
        </w:r>
      </w:hyperlink>
      <w:r>
        <w:t xml:space="preserve">.</w:t>
      </w:r>
    </w:p>
    <w:bookmarkEnd w:id="60"/>
    <w:bookmarkStart w:id="62"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61">
        <w:r>
          <w:rPr>
            <w:rStyle w:val="Hyperlink"/>
          </w:rPr>
          <w:t xml:space="preserve">10.1016/S0022-0981(00)00255-0</w:t>
        </w:r>
      </w:hyperlink>
      <w:r>
        <w:t xml:space="preserve">.</w:t>
      </w:r>
    </w:p>
    <w:bookmarkEnd w:id="62"/>
    <w:bookmarkStart w:id="63"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63"/>
    <w:bookmarkStart w:id="64"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64"/>
    <w:bookmarkStart w:id="65"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65"/>
    <w:bookmarkStart w:id="66"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66"/>
    <w:bookmarkStart w:id="67"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67"/>
    <w:bookmarkStart w:id="69"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68">
        <w:r>
          <w:rPr>
            <w:rStyle w:val="Hyperlink"/>
          </w:rPr>
          <w:t xml:space="preserve">10.1098/rsbl.2012.0821</w:t>
        </w:r>
      </w:hyperlink>
      <w:r>
        <w:t xml:space="preserve">.</w:t>
      </w:r>
    </w:p>
    <w:bookmarkEnd w:id="69"/>
    <w:bookmarkStart w:id="70"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70"/>
    <w:bookmarkStart w:id="71" w:name="ref-Putman2018"/>
    <w:p>
      <w:pPr>
        <w:pStyle w:val="Bibliography"/>
      </w:pPr>
      <w:r>
        <w:t xml:space="preserve">Putman, N. F., Goni, G. J., Gramer, L. J., Hu, C., Johns, E. M., Trinanes, J., et al. (2018). Simulating transport pathways of pelagic sargassum from the equatorial atlantic into the caribbean sea.</w:t>
      </w:r>
      <w:r>
        <w:t xml:space="preserve"> </w:t>
      </w:r>
      <w:r>
        <w:rPr>
          <w:i/>
        </w:rPr>
        <w:t xml:space="preserve">Progress in Oceanography</w:t>
      </w:r>
      <w:r>
        <w:t xml:space="preserve"> </w:t>
      </w:r>
      <w:r>
        <w:t xml:space="preserve">165, 205–214.</w:t>
      </w:r>
    </w:p>
    <w:bookmarkEnd w:id="71"/>
    <w:bookmarkStart w:id="72" w:name="ref-Putman2020"/>
    <w:p>
      <w:pPr>
        <w:pStyle w:val="Bibliography"/>
      </w:pPr>
      <w:r>
        <w:t xml:space="preserve">Putman, N. F., Lumpkin, R., Olascoaga, M. J., Trinanes, J., and Goni, G. J. (2020). Improving transport predictions of pelagic sargassum.</w:t>
      </w:r>
      <w:r>
        <w:t xml:space="preserve"> </w:t>
      </w:r>
      <w:r>
        <w:rPr>
          <w:i/>
        </w:rPr>
        <w:t xml:space="preserve">Journal of Experimental Marine Biology and Ecology</w:t>
      </w:r>
      <w:r>
        <w:t xml:space="preserve"> </w:t>
      </w:r>
      <w:r>
        <w:t xml:space="preserve">529, 151398.</w:t>
      </w:r>
    </w:p>
    <w:bookmarkEnd w:id="72"/>
    <w:bookmarkStart w:id="73"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73"/>
    <w:bookmarkStart w:id="75"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74">
        <w:r>
          <w:rPr>
            <w:rStyle w:val="Hyperlink"/>
          </w:rPr>
          <w:t xml:space="preserve">10.1111/jpy.12237</w:t>
        </w:r>
      </w:hyperlink>
      <w:r>
        <w:t xml:space="preserve">.</w:t>
      </w:r>
    </w:p>
    <w:bookmarkEnd w:id="75"/>
    <w:bookmarkStart w:id="77"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76">
        <w:r>
          <w:rPr>
            <w:rStyle w:val="Hyperlink"/>
          </w:rPr>
          <w:t xml:space="preserve">10.1046/j.1466-822X.2001.00259.x</w:t>
        </w:r>
      </w:hyperlink>
      <w:r>
        <w:t xml:space="preserve">.</w:t>
      </w:r>
    </w:p>
    <w:bookmarkEnd w:id="77"/>
    <w:bookmarkStart w:id="79"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78">
        <w:r>
          <w:rPr>
            <w:rStyle w:val="Hyperlink"/>
          </w:rPr>
          <w:t xml:space="preserve">10.1007/s00227-013-2186-8</w:t>
        </w:r>
      </w:hyperlink>
      <w:r>
        <w:t xml:space="preserve">.</w:t>
      </w:r>
    </w:p>
    <w:bookmarkEnd w:id="79"/>
    <w:bookmarkStart w:id="80"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80"/>
    <w:bookmarkStart w:id="81"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81"/>
    <w:bookmarkStart w:id="83"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82">
        <w:r>
          <w:rPr>
            <w:rStyle w:val="Hyperlink"/>
          </w:rPr>
          <w:t xml:space="preserve">10.1007/s00227-012-1990-x</w:t>
        </w:r>
      </w:hyperlink>
      <w:r>
        <w:t xml:space="preserve">.</w:t>
      </w:r>
    </w:p>
    <w:bookmarkEnd w:id="83"/>
    <w:bookmarkEnd w:id="84"/>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59" Target="https://doi.org/10.1007/BF00680216" TargetMode="External" /><Relationship Type="http://schemas.openxmlformats.org/officeDocument/2006/relationships/hyperlink" Id="rId82" Target="https://doi.org/10.1007/s00227-012-1990-x" TargetMode="External" /><Relationship Type="http://schemas.openxmlformats.org/officeDocument/2006/relationships/hyperlink" Id="rId78" Target="https://doi.org/10.1007/s00227-013-2186-8" TargetMode="External" /><Relationship Type="http://schemas.openxmlformats.org/officeDocument/2006/relationships/hyperlink" Id="rId61" Target="https://doi.org/10.1016/S0022-0981(00)00255-0" TargetMode="External" /><Relationship Type="http://schemas.openxmlformats.org/officeDocument/2006/relationships/hyperlink" Id="rId76" Target="https://doi.org/10.1046/j.1466-822X.2001.00259.x" TargetMode="External" /><Relationship Type="http://schemas.openxmlformats.org/officeDocument/2006/relationships/hyperlink" Id="rId68" Target="https://doi.org/10.1098/rsbl.2012.0821" TargetMode="External" /><Relationship Type="http://schemas.openxmlformats.org/officeDocument/2006/relationships/hyperlink" Id="rId74" Target="https://doi.org/10.1111/jpy.12237" TargetMode="External" /><Relationship Type="http://schemas.openxmlformats.org/officeDocument/2006/relationships/hyperlink" Id="rId39" Target="https://doi.org/10.1115/OMAE2017-62159" TargetMode="External" /><Relationship Type="http://schemas.openxmlformats.org/officeDocument/2006/relationships/hyperlink" Id="rId49" Target="https://doi.org/10.1146/annurev.es.16.110185.001243" TargetMode="External" /><Relationship Type="http://schemas.openxmlformats.org/officeDocument/2006/relationships/hyperlink" Id="rId41"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BF00680216" TargetMode="External" /><Relationship Type="http://schemas.openxmlformats.org/officeDocument/2006/relationships/hyperlink" Id="rId82" Target="https://doi.org/10.1007/s00227-012-1990-x" TargetMode="External" /><Relationship Type="http://schemas.openxmlformats.org/officeDocument/2006/relationships/hyperlink" Id="rId78" Target="https://doi.org/10.1007/s00227-013-2186-8" TargetMode="External" /><Relationship Type="http://schemas.openxmlformats.org/officeDocument/2006/relationships/hyperlink" Id="rId61" Target="https://doi.org/10.1016/S0022-0981(00)00255-0" TargetMode="External" /><Relationship Type="http://schemas.openxmlformats.org/officeDocument/2006/relationships/hyperlink" Id="rId76" Target="https://doi.org/10.1046/j.1466-822X.2001.00259.x" TargetMode="External" /><Relationship Type="http://schemas.openxmlformats.org/officeDocument/2006/relationships/hyperlink" Id="rId68" Target="https://doi.org/10.1098/rsbl.2012.0821" TargetMode="External" /><Relationship Type="http://schemas.openxmlformats.org/officeDocument/2006/relationships/hyperlink" Id="rId74" Target="https://doi.org/10.1111/jpy.12237" TargetMode="External" /><Relationship Type="http://schemas.openxmlformats.org/officeDocument/2006/relationships/hyperlink" Id="rId39" Target="https://doi.org/10.1115/OMAE2017-62159" TargetMode="External" /><Relationship Type="http://schemas.openxmlformats.org/officeDocument/2006/relationships/hyperlink" Id="rId49" Target="https://doi.org/10.1146/annurev.es.16.110185.001243" TargetMode="External" /><Relationship Type="http://schemas.openxmlformats.org/officeDocument/2006/relationships/hyperlink" Id="rId41"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2020-12-16T15:04:10Z</dcterms:created>
  <dcterms:modified xsi:type="dcterms:W3CDTF">2020-12-16T15:04:10Z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