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Ross</w:t>
      </w:r>
      <w:r>
        <w:t xml:space="preserve"> </w:t>
      </w:r>
      <w:r>
        <w:t xml:space="preserve">Coppin</w:t>
      </w:r>
    </w:p>
    <w:p>
      <w:pPr>
        <w:pStyle w:val="Heading1"/>
      </w:pPr>
      <w:bookmarkStart w:id="20" w:name="introduction"/>
      <w:r>
        <w:t xml:space="preserve">Introduction</w:t>
      </w:r>
      <w:bookmarkEnd w:id="20"/>
    </w:p>
    <w:p>
      <w:pPr>
        <w:pStyle w:val="FirstParagraph"/>
      </w:pPr>
      <w:r>
        <w:t xml:space="preserve">There is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Considerable research has been performed investigating macroalgae as a passive dispersal mechanism in the ocean, however, in recent years much of the focus has shifted towards microplastics.</w:t>
      </w:r>
    </w:p>
    <w:p>
      <w:pPr>
        <w:pStyle w:val="BodyText"/>
      </w:pPr>
      <w:r>
        <w:t xml:space="preserve">Some macroalgae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w:t>
      </w:r>
      <w:r>
        <w:t xml:space="preserve">and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w:t>
      </w:r>
      <w:r>
        <w:t xml:space="preserve">have been the focus of much of the research regarding spatial and temporal dispersal patterns, the ecological role of rafting, marine connectivity and raft-time.</w:t>
      </w:r>
    </w:p>
    <w:p>
      <w:pPr>
        <w:pStyle w:val="BodyText"/>
      </w:pPr>
      <w:r>
        <w:t xml:space="preserve">The raft-time is the amount of time macroalgae floats at the surface before becoming negatively buoyant and begins to sink to the ocean-floor. Raft-time, also referred to as raft longevity, is determined by epibiont load, macroalgal growth rate and the loss of kelp biomass over time through fragmentation. Epibiont load consists of epiphytic and bryozoan species which tend to grow more rapidly in higher light and temperature environments, such as the ocean surface</w:t>
      </w:r>
      <w:r>
        <w:t xml:space="preserve"> </w:t>
      </w:r>
      <w:r>
        <w:t xml:space="preserve">(Thiel and Gutow, 2005, 2005; Graiff et al., 2016)</w:t>
      </w:r>
      <w:r>
        <w:t xml:space="preserve">. The increase in epibiont load reduces the buoyancy of floating macroalgal rafts over time eventually causing them to sink to the seafloor, while also potentially increasing drag</w:t>
      </w:r>
      <w:r>
        <w:t xml:space="preserve"> </w:t>
      </w:r>
      <w:r>
        <w:t xml:space="preserve">(Hobday, 2000; Tala et al., 2013; Craw and Waters, 2018)</w:t>
      </w:r>
      <w:r>
        <w:t xml:space="preserve">. Fragmentation of kelp biomass over time may also reduce raft times further, while growth may counteract the effects of epibiont load and fragmentation provided the environmental conditions are favorable</w:t>
      </w:r>
      <w:r>
        <w:t xml:space="preserve"> </w:t>
      </w:r>
      <w:r>
        <w:t xml:space="preserve">(Graiff et al., 2016; Macaya et al., 2016)</w:t>
      </w:r>
      <w:r>
        <w:t xml:space="preserve">. For instance a study by</w:t>
      </w:r>
      <w:r>
        <w:t xml:space="preserve"> </w:t>
      </w:r>
      <w:r>
        <w:t xml:space="preserve">Rothäusler et al. (2011)</w:t>
      </w:r>
      <w:r>
        <w:t xml:space="preserve"> </w:t>
      </w:r>
      <w:r>
        <w:t xml:space="preserve">investigated the abiotic and biotic factors influencing raft time and dispersal potential of the giant kelp</w:t>
      </w:r>
      <w:r>
        <w:t xml:space="preserve"> </w:t>
      </w:r>
      <w:r>
        <w:rPr>
          <w:i/>
        </w:rPr>
        <w:t xml:space="preserve">M. pyrifera</w:t>
      </w:r>
      <w:r>
        <w:t xml:space="preserve"> </w:t>
      </w:r>
      <w:r>
        <w:t xml:space="preserve">by a combination of tethering experiments and field surveys. The results showed the physiological performance of kelp declined with increasing epiphyte biomass and that higher temperatures increased growth rate of epibionts and fragmentation of kelp. The authors concluded from the results of both the experiments and field surveys that</w:t>
      </w:r>
      <w:r>
        <w:t xml:space="preserve"> </w:t>
      </w:r>
      <w:r>
        <w:rPr>
          <w:i/>
        </w:rPr>
        <w:t xml:space="preserve">M. pyrifera</w:t>
      </w:r>
      <w:r>
        <w:t xml:space="preserve"> </w:t>
      </w:r>
      <w:r>
        <w:t xml:space="preserve">dispersal is dependent on low temperature and moderate irradiance conditions, with high temperatures and higher irradiance reducing overall raft-time and hence dispersal potential</w:t>
      </w:r>
      <w:r>
        <w:t xml:space="preserve"> </w:t>
      </w:r>
      <w:r>
        <w:t xml:space="preserve">(Rothäusler et al., 2011)</w:t>
      </w:r>
      <w:r>
        <w:t xml:space="preserve">.</w:t>
      </w:r>
    </w:p>
    <w:p>
      <w:pPr>
        <w:pStyle w:val="BodyText"/>
      </w:pPr>
      <w:r>
        <w:t xml:space="preserve">Many past authors have also taken various approaches to estimate not only the raft-time of macroalgal rafts but also the oceanographic influences of macroalgae trajectory. Past research points to macroalgae trajectory being largely determined by prevailing wind conditions and surface currents</w:t>
      </w:r>
      <w:r>
        <w:t xml:space="preserve"> </w:t>
      </w:r>
      <w:r>
        <w:t xml:space="preserve">(Hobday, 2000; Thiel and Gutow, 2005, @thiel2005; Fraser et al., 2011; Rothäusler et al., 2011, 2011)</w:t>
      </w:r>
      <w:r>
        <w:t xml:space="preserve">. Although ocean currents are regarded as the primary influence, the relative importance of wind versus surface current is still not 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however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w:t>
      </w:r>
    </w:p>
    <w:p>
      <w:pPr>
        <w:pStyle w:val="BodyText"/>
      </w:pPr>
      <w:r>
        <w:t xml:space="preserve">Other aspects such as buoyancy and drag also play a role in determining the trajectory and rate of transport for surface floating material. However, the past research on macroalgal trajectory has not investigated these factors which have been shown to be important aspects of trajectory for other materials such as icebergs, marine craft and microplastics.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water form drag. Drag coefficients related to wind and surface current have been shown to be important properties to consider when estimating trajectory and forecasting drift for search and sea rescue operations. Drag is ultimately determined by the size and shape of the object which are properties that vary considerably with macroalgae species.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w:t>
      </w:r>
    </w:p>
    <w:p>
      <w:pPr>
        <w:pStyle w:val="BodyText"/>
      </w:pPr>
      <w:r>
        <w:t xml:space="preserve">Although various approaches have been used in the past to investigate floating macroalagae trajectory, very few studies have employed the use of Langrangian trajectory modelling. Furthermore, non of the existing studies using this modeling approach have considered macroalgal morphology (i.e. shape) as an aspect of drag and ultimately trajectory. Currently, work by</w:t>
      </w:r>
      <w:r>
        <w:t xml:space="preserve"> </w:t>
      </w:r>
      <w:r>
        <w:t xml:space="preserve">Brooks et al. (2019)</w:t>
      </w:r>
      <w:r>
        <w:t xml:space="preserve"> </w:t>
      </w:r>
      <w:r>
        <w:t xml:space="preserve">which investigated the effect of inertia and radial size on the trajectory of pelagic</w:t>
      </w:r>
      <w:r>
        <w:t xml:space="preserve"> </w:t>
      </w:r>
      <w:r>
        <w:rPr>
          <w:i/>
        </w:rPr>
        <w:t xml:space="preserve">Sargussum</w:t>
      </w:r>
      <w:r>
        <w:t xml:space="preserve"> </w:t>
      </w:r>
      <w:r>
        <w:t xml:space="preserve">rafts. The study 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take into account the complex morphology on an individual level into account.</w:t>
      </w:r>
    </w:p>
    <w:p>
      <w:pPr>
        <w:pStyle w:val="BodyText"/>
      </w:pPr>
      <w:r>
        <w:t xml:space="preserve">To accurately determine the trajectory of marine macroalgae these aspects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calculated for macroalgae not detached from the substratum and are regarded as fixed-point estimates. Methods used in the field of chemical engineering provide an alternative approach to estimating drag of macroalgae by means of formulas to calculate drag based on shape. Chemical engineers in the field of fluid dynamics which come across similar problems when including drag use an approach known as a</w:t>
      </w:r>
      <w:r>
        <w:t xml:space="preserve"> </w:t>
      </w:r>
      <w:r>
        <w:t xml:space="preserve">‘</w:t>
      </w:r>
      <w:r>
        <w:t xml:space="preserve">spherecity factor</w:t>
      </w:r>
      <w:r>
        <w:t xml:space="preserve">’</w:t>
      </w:r>
      <w:r>
        <w:t xml:space="preserve">. A spherecity factor is the ratio of the surface area of a sphere having the volume as the irregular shaped particle (s) to the actual surface area of the particle (s_d) such that</w:t>
      </w:r>
    </w:p>
    <w:p>
      <w:pPr>
        <w:pStyle w:val="BodyText"/>
      </w:pPr>
      <m:oMathPara>
        <m:oMathParaPr>
          <m:jc m:val="center"/>
        </m:oMathParaPr>
        <m:oMath>
          <m:r>
            <m:t>ψ</m:t>
          </m:r>
          <m:r>
            <m:t>=</m:t>
          </m:r>
          <m:r>
            <m:t>s</m:t>
          </m:r>
          <m:r>
            <m:t>/</m:t>
          </m:r>
          <m:sSub>
            <m:e>
              <m:r>
                <m:t>s</m:t>
              </m:r>
            </m:e>
            <m:sub>
              <m:r>
                <m:t>d</m:t>
              </m:r>
            </m:sub>
          </m:sSub>
        </m:oMath>
      </m:oMathPara>
    </w:p>
    <w:p>
      <w:pPr>
        <w:pStyle w:val="FirstParagraph"/>
      </w:pPr>
      <w:r>
        <w:t xml:space="preserve">. The values are dependent on the shape of the object and a range of values have been determined based on numerous experimental work. A table of various shapes and the associated spherecity factor is provided in the appendix.</w:t>
      </w:r>
    </w:p>
    <w:p>
      <w:pPr>
        <w:pStyle w:val="BodyText"/>
      </w:pPr>
      <w:r>
        <w:t xml:space="preserve">There are considerable gaps in the literature with regards to macroalgae trajectory such as buoyancy, air form drag, water form drag, epibiont load, growth, fragmentation, size, shape and orientation which have not been investigated numerically in the past. In this study, a hypothetical approach was used to shed light on the role of drag on macroalgal drift trajectory by means of Langrangian based trajectory simulations. These simulations aimed to determine the role that hydrodynamic and wind drag might play in drift trajectory of macroalgae. In terms of wind drag, the direct effect of wind on the kelp was estimated rather than its affect on surface-currents.</w:t>
      </w:r>
    </w:p>
    <w:p>
      <w:pPr>
        <w:pStyle w:val="Heading1"/>
      </w:pPr>
      <w:bookmarkStart w:id="21" w:name="methods"/>
      <w:r>
        <w:t xml:space="preserve">Methods</w:t>
      </w:r>
      <w:bookmarkEnd w:id="21"/>
    </w:p>
    <w:p>
      <w:pPr>
        <w:pStyle w:val="Heading2"/>
      </w:pPr>
      <w:bookmarkStart w:id="22" w:name="hydrodynamic-model"/>
      <w:r>
        <w:t xml:space="preserve">Hydrodynamic model</w:t>
      </w:r>
      <w:bookmarkEnd w:id="22"/>
    </w:p>
    <w:p>
      <w:pPr>
        <w:pStyle w:val="FirstParagraph"/>
      </w:pPr>
      <w:r>
        <w:t xml:space="preserve">The characteristics of the underlying numerical flow model will be explained here…</w:t>
      </w:r>
      <w:r>
        <w:t xml:space="preserve"> </w:t>
      </w:r>
      <w:r>
        <w:t xml:space="preserve">## Particle tracking model</w:t>
      </w:r>
    </w:p>
    <w:p>
      <w:pPr>
        <w:pStyle w:val="BodyText"/>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solitary</w:t>
      </w:r>
      <w:r>
        <w:t xml:space="preserve"> </w:t>
      </w:r>
      <w:r>
        <w:rPr>
          <w:i/>
        </w:rPr>
        <w:t xml:space="preserve">E. maxima</w:t>
      </w:r>
      <w:r>
        <w:t xml:space="preserve"> </w:t>
      </w:r>
      <w:r>
        <w:t xml:space="preserve">individuals will be considered. Previous studies have made the assumption that kelp rafts move with the same velocity as the ocean current, and instead model a ensemble of particles which trajectories are determined by a combination of ocean currents and/or the effects of winds on currents. In addition, these studies assume the particle is fully buoyant.</w:t>
      </w:r>
    </w:p>
    <w:p>
      <w:pPr>
        <w:pStyle w:val="BodyText"/>
      </w:pPr>
      <w:r>
        <w:t xml:space="preserve">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This can range from swimming in fish to sinking or beaching. IN order to investigate the effects of drag components of trajectory of floating macroalgae, this study incorporated drag as the custom behavior. This study simulated two scenarios; one where the plant is fully submerged and only exposed to seawater drag and the other where parts of the plants are partially exposed resulting in a combination of seawater and air form drag. Unlike previous studies, drag based on shape based coefficients was used in the calculations for determining the reduction in velocity as a result of drag.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particular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c</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c</m:t>
            </m:r>
          </m:sub>
        </m:sSub>
      </m:oMath>
      <w:r>
        <w:t xml:space="preserve"> </w:t>
      </w:r>
      <w:r>
        <w:t xml:space="preserve">the hydrodynamic drag,</w:t>
      </w:r>
      <w:r>
        <w:t xml:space="preserve"> </w:t>
      </w:r>
      <m:oMath>
        <m:sSub>
          <m:e>
            <m:r>
              <m:t>F</m:t>
            </m:r>
          </m:e>
          <m:sub>
            <m:r>
              <m:t>a</m:t>
            </m:r>
          </m:sub>
        </m:sSub>
      </m:oMath>
      <w:r>
        <w:t xml:space="preserve"> </w:t>
      </w:r>
      <w:r>
        <w:t xml:space="preserve">is the wind drag, and</w:t>
      </w:r>
      <w:r>
        <w:t xml:space="preserve"> </w:t>
      </w:r>
      <m:oMath>
        <m:sSub>
          <m:e>
            <m:r>
              <m:t>F</m:t>
            </m:r>
          </m:e>
          <m:sub>
            <m:r>
              <m:t>f</m:t>
            </m:r>
          </m:sub>
        </m:sSub>
      </m:oMath>
      <w:r>
        <w:t xml:space="preserve"> </w:t>
      </w:r>
      <w:r>
        <w:t xml:space="preserve">the surface-current flow. The assumption made was that the mass of the kelp did not change for each virtual kelp particle over the course of the simulations. Hydrodynamic drag, wind drag and surface current-flow are two-dimensional vector quantities and were calculated before input into the model.</w:t>
      </w:r>
    </w:p>
    <w:p>
      <w:pPr>
        <w:pStyle w:val="Heading2"/>
      </w:pPr>
      <w:bookmarkStart w:id="23" w:name="hydrodynamic-drag"/>
      <w:r>
        <w:t xml:space="preserve">Hydrodynamic drag</w:t>
      </w:r>
      <w:bookmarkEnd w:id="23"/>
    </w:p>
    <w:p>
      <w:pPr>
        <w:pStyle w:val="FirstParagraph"/>
      </w:pPr>
      <w:r>
        <w:t xml:space="preserve">The use of shape coefficients was used as a novel approach to simulating biological drifting debris. The drag coefficient for a spherical particle was used in the calculation of hydrodynamic drag as the trajectory model assumes the particles are spherical. The cross-sectional area for each of the virtual kelp parts was determined and used in the calculation of hydrodynamic drag. The hydrodynamic/form drag can be calculated by the equation:</w:t>
      </w:r>
    </w:p>
    <w:p>
      <w:pPr>
        <w:pStyle w:val="BodyText"/>
      </w:pPr>
      <m:oMathPara>
        <m:oMathParaPr>
          <m:jc m:val="center"/>
        </m:oMathParaPr>
        <m:oMath>
          <m:sSub>
            <m:e>
              <m:r>
                <m:t>F</m:t>
              </m:r>
            </m:e>
            <m:sub>
              <m:r>
                <m:t>d</m:t>
              </m:r>
            </m:sub>
          </m:sSub>
          <m:r>
            <m:t>=</m:t>
          </m:r>
          <m:r>
            <m:t>0.5</m:t>
          </m:r>
          <m:r>
            <m:t>ρ</m:t>
          </m:r>
          <m:sSub>
            <m:e>
              <m:r>
                <m:t>A</m:t>
              </m:r>
            </m:e>
            <m:sub>
              <m:r>
                <m:t>c</m:t>
              </m:r>
            </m:sub>
          </m:sSub>
          <m:sSub>
            <m:e>
              <m:r>
                <m:t>C</m:t>
              </m:r>
            </m:e>
            <m:sub>
              <m:r>
                <m:t>d</m:t>
              </m:r>
            </m:sub>
          </m:sSub>
          <m:sSup>
            <m:e>
              <m:r>
                <m:t>U</m:t>
              </m:r>
            </m:e>
            <m:sup>
              <m:r>
                <m:t>2</m:t>
              </m:r>
            </m:sup>
          </m:sSup>
        </m:oMath>
      </m:oMathPara>
    </w:p>
    <w:p>
      <w:pPr>
        <w:pStyle w:val="Heading2"/>
      </w:pPr>
      <w:bookmarkStart w:id="24" w:name="raft-time"/>
      <w:r>
        <w:t xml:space="preserve">Raft-time</w:t>
      </w:r>
      <w:bookmarkEnd w:id="24"/>
    </w:p>
    <w:p>
      <w:pPr>
        <w:pStyle w:val="FirstParagraph"/>
      </w:pPr>
      <w:r>
        <w:t xml:space="preserve">Raft-time or sometimes referred to as raft-longevity is the time a macroalgae raft remains afloat at the surface of the ocean after detachment. Raft-time was estimated from past studies by</w:t>
      </w:r>
      <w:r>
        <w:t xml:space="preserve"> </w:t>
      </w:r>
      <w:r>
        <w:t xml:space="preserve">Graiff et al. (2016)</w:t>
      </w:r>
      <w:r>
        <w:t xml:space="preserve"> </w:t>
      </w:r>
      <w:r>
        <w:t xml:space="preserve">and</w:t>
      </w:r>
      <w:r>
        <w:t xml:space="preserve"> </w:t>
      </w:r>
      <w:r>
        <w:t xml:space="preserve">Graiff et al. (2013)</w:t>
      </w:r>
      <w:r>
        <w:t xml:space="preserve">; which found mean raft times of approximately 30 days in moderate conditions.</w:t>
      </w:r>
    </w:p>
    <w:p>
      <w:pPr>
        <w:pStyle w:val="Heading2"/>
      </w:pPr>
      <w:bookmarkStart w:id="25" w:name="simulations"/>
      <w:r>
        <w:t xml:space="preserve">Simulations</w:t>
      </w:r>
      <w:bookmarkEnd w:id="25"/>
    </w:p>
    <w:p>
      <w:pPr>
        <w:pStyle w:val="Heading1"/>
      </w:pPr>
      <w:bookmarkStart w:id="26" w:name="results"/>
      <w:r>
        <w:t xml:space="preserve">Results</w:t>
      </w:r>
      <w:bookmarkEnd w:id="26"/>
    </w:p>
    <w:p>
      <w:pPr>
        <w:pStyle w:val="Heading1"/>
      </w:pPr>
      <w:bookmarkStart w:id="27" w:name="discussion"/>
      <w:r>
        <w:t xml:space="preserve">Discussion</w:t>
      </w:r>
      <w:bookmarkEnd w:id="27"/>
    </w:p>
    <w:p>
      <w:pPr>
        <w:pStyle w:val="Heading1"/>
      </w:pPr>
      <w:bookmarkStart w:id="28" w:name="appendix"/>
      <w:r>
        <w:t xml:space="preserve">Appendix</w:t>
      </w:r>
      <w:bookmarkEnd w:id="28"/>
    </w:p>
    <w:p>
      <w:pPr>
        <w:pStyle w:val="FirstParagraph"/>
      </w:pPr>
      <w:r>
        <w:t xml:space="preserve">Insert table of spherecity factors.</w:t>
      </w:r>
    </w:p>
    <w:p>
      <w:pPr>
        <w:pStyle w:val="Heading1"/>
      </w:pPr>
      <w:bookmarkStart w:id="29" w:name="references"/>
      <w:r>
        <w:t xml:space="preserve">References</w:t>
      </w:r>
      <w:bookmarkEnd w:id="29"/>
    </w:p>
    <w:bookmarkStart w:id="77" w:name="refs"/>
    <w:bookmarkStart w:id="30" w:name="ref-allen1999"/>
    <w:p>
      <w:pPr>
        <w:pStyle w:val="Bibliography"/>
      </w:pPr>
      <w:r>
        <w:t xml:space="preserve">Allen, A., and Plourde, J. (1999). Review of leeway: Field experiments and implementation. US coast guard rep.</w:t>
      </w:r>
    </w:p>
    <w:bookmarkEnd w:id="30"/>
    <w:bookmarkStart w:id="32" w:name="ref-andersson2017"/>
    <w:p>
      <w:pPr>
        <w:pStyle w:val="Bibliography"/>
      </w:pPr>
      <w:r>
        <w:t xml:space="preserve">Andersson, L. E., Scibilia, F., and Imsland, L. (2017). A study on an iceberg drift trajectory. 8. doi:</w:t>
      </w:r>
      <w:hyperlink r:id="rId31">
        <w:r>
          <w:rPr>
            <w:rStyle w:val="Hyperlink"/>
          </w:rPr>
          <w:t xml:space="preserve">10.1115/OMAE2017-62159</w:t>
        </w:r>
      </w:hyperlink>
      <w:r>
        <w:t xml:space="preserve">.</w:t>
      </w:r>
    </w:p>
    <w:bookmarkEnd w:id="32"/>
    <w:bookmarkStart w:id="34"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33">
        <w:r>
          <w:rPr>
            <w:rStyle w:val="Hyperlink"/>
          </w:rPr>
          <w:t xml:space="preserve">10.3390/d10010011</w:t>
        </w:r>
      </w:hyperlink>
      <w:r>
        <w:t xml:space="preserve">.</w:t>
      </w:r>
    </w:p>
    <w:bookmarkEnd w:id="34"/>
    <w:bookmarkStart w:id="35"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35"/>
    <w:bookmarkStart w:id="36"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36"/>
    <w:bookmarkStart w:id="37"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37"/>
    <w:bookmarkStart w:id="38" w:name="ref-bushing1994"/>
    <w:p>
      <w:pPr>
        <w:pStyle w:val="Bibliography"/>
      </w:pPr>
      <w:r>
        <w:t xml:space="preserve">Bushing, W. W. (1994). Biogeographic and ecological implications of kelp rafting as a dispersal vector for marine invertebrates. 22.</w:t>
      </w:r>
    </w:p>
    <w:bookmarkEnd w:id="38"/>
    <w:bookmarkStart w:id="39"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39"/>
    <w:bookmarkStart w:id="40" w:name="ref-craw2018"/>
    <w:p>
      <w:pPr>
        <w:pStyle w:val="Bibliography"/>
      </w:pPr>
      <w:r>
        <w:t xml:space="preserve">Craw, D., and Waters, J. (2018). Long distance kelp-rafting of rocks around southern New Zealand.</w:t>
      </w:r>
      <w:r>
        <w:t xml:space="preserve"> </w:t>
      </w:r>
      <w:r>
        <w:rPr>
          <w:i/>
        </w:rPr>
        <w:t xml:space="preserve">N.Z. J. Geol. Geophys.</w:t>
      </w:r>
      <w:r>
        <w:t xml:space="preserve"> </w:t>
      </w:r>
      <w:r>
        <w:t xml:space="preserve">61, 428–443.</w:t>
      </w:r>
    </w:p>
    <w:bookmarkEnd w:id="40"/>
    <w:bookmarkStart w:id="42"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41">
        <w:r>
          <w:rPr>
            <w:rStyle w:val="Hyperlink"/>
          </w:rPr>
          <w:t xml:space="preserve">10.1146/annurev.es.16.110185.001243</w:t>
        </w:r>
      </w:hyperlink>
      <w:r>
        <w:t xml:space="preserve">.</w:t>
      </w:r>
    </w:p>
    <w:bookmarkEnd w:id="42"/>
    <w:bookmarkStart w:id="43"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43"/>
    <w:bookmarkStart w:id="44"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44"/>
    <w:bookmarkStart w:id="45"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45"/>
    <w:bookmarkStart w:id="46"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46"/>
    <w:bookmarkStart w:id="47"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47"/>
    <w:bookmarkStart w:id="49" w:name="ref-graiff2013"/>
    <w:p>
      <w:pPr>
        <w:pStyle w:val="Bibliography"/>
      </w:pPr>
      <w:r>
        <w:t xml:space="preserve">Graiff, A., Karsten, U., Meyer, S., Pfender, D., Tala, F., and Thiel, M. (2013). Seasonal variation in floating persistence of detached</w:t>
      </w:r>
      <w:r>
        <w:t xml:space="preserve"> </w:t>
      </w:r>
      <w:r>
        <w:rPr>
          <w:i/>
        </w:rPr>
        <w:t xml:space="preserve">Durvillaea antarctica</w:t>
      </w:r>
      <w:r>
        <w:t xml:space="preserve"> </w:t>
      </w:r>
      <w:r>
        <w:t xml:space="preserve">(Chamisso) Hariot thalli.</w:t>
      </w:r>
      <w:r>
        <w:t xml:space="preserve"> </w:t>
      </w:r>
      <w:r>
        <w:rPr>
          <w:i/>
        </w:rPr>
        <w:t xml:space="preserve">Botanica Marina</w:t>
      </w:r>
      <w:r>
        <w:t xml:space="preserve"> </w:t>
      </w:r>
      <w:r>
        <w:t xml:space="preserve">56, 3–14. doi:</w:t>
      </w:r>
      <w:hyperlink r:id="rId48">
        <w:r>
          <w:rPr>
            <w:rStyle w:val="Hyperlink"/>
          </w:rPr>
          <w:t xml:space="preserve">10.1515/bot-2012-0193</w:t>
        </w:r>
      </w:hyperlink>
      <w:r>
        <w:t xml:space="preserve">.</w:t>
      </w:r>
    </w:p>
    <w:bookmarkEnd w:id="49"/>
    <w:bookmarkStart w:id="50"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50"/>
    <w:bookmarkStart w:id="51"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51"/>
    <w:bookmarkStart w:id="52"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52"/>
    <w:bookmarkStart w:id="54"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53">
        <w:r>
          <w:rPr>
            <w:rStyle w:val="Hyperlink"/>
          </w:rPr>
          <w:t xml:space="preserve">10.1007/BF00680216</w:t>
        </w:r>
      </w:hyperlink>
      <w:r>
        <w:t xml:space="preserve">.</w:t>
      </w:r>
    </w:p>
    <w:bookmarkEnd w:id="54"/>
    <w:bookmarkStart w:id="56"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55">
        <w:r>
          <w:rPr>
            <w:rStyle w:val="Hyperlink"/>
          </w:rPr>
          <w:t xml:space="preserve">10.1016/S0022-0981(00)00255-0</w:t>
        </w:r>
      </w:hyperlink>
      <w:r>
        <w:t xml:space="preserve">.</w:t>
      </w:r>
    </w:p>
    <w:bookmarkEnd w:id="56"/>
    <w:bookmarkStart w:id="57"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57"/>
    <w:bookmarkStart w:id="58"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58"/>
    <w:bookmarkStart w:id="59"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59"/>
    <w:bookmarkStart w:id="60"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60"/>
    <w:bookmarkStart w:id="61" w:name="ref-macaya2016"/>
    <w:p>
      <w:pPr>
        <w:pStyle w:val="Bibliography"/>
      </w:pPr>
      <w:r>
        <w:t xml:space="preserve">Macaya, E. C., López, B., Tala, F., Tellier, F., and Thiel, M. (2016). Float and raft: Role of buoyant seaweeds in the phylogeography and genetic structure of non-buoyant associated flora. 97–130.</w:t>
      </w:r>
    </w:p>
    <w:bookmarkEnd w:id="61"/>
    <w:bookmarkStart w:id="62"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62"/>
    <w:bookmarkStart w:id="64"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63">
        <w:r>
          <w:rPr>
            <w:rStyle w:val="Hyperlink"/>
          </w:rPr>
          <w:t xml:space="preserve">10.1098/rsbl.2012.0821</w:t>
        </w:r>
      </w:hyperlink>
      <w:r>
        <w:t xml:space="preserve">.</w:t>
      </w:r>
    </w:p>
    <w:bookmarkEnd w:id="64"/>
    <w:bookmarkStart w:id="65"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65"/>
    <w:bookmarkStart w:id="66"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66"/>
    <w:bookmarkStart w:id="68"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67">
        <w:r>
          <w:rPr>
            <w:rStyle w:val="Hyperlink"/>
          </w:rPr>
          <w:t xml:space="preserve">10.1111/jpy.12237</w:t>
        </w:r>
      </w:hyperlink>
      <w:r>
        <w:t xml:space="preserve">.</w:t>
      </w:r>
    </w:p>
    <w:bookmarkEnd w:id="68"/>
    <w:bookmarkStart w:id="70"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69">
        <w:r>
          <w:rPr>
            <w:rStyle w:val="Hyperlink"/>
          </w:rPr>
          <w:t xml:space="preserve">10.1046/j.1466-822X.2001.00259.x</w:t>
        </w:r>
      </w:hyperlink>
      <w:r>
        <w:t xml:space="preserve">.</w:t>
      </w:r>
    </w:p>
    <w:bookmarkEnd w:id="70"/>
    <w:bookmarkStart w:id="72"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71">
        <w:r>
          <w:rPr>
            <w:rStyle w:val="Hyperlink"/>
          </w:rPr>
          <w:t xml:space="preserve">10.1007/s00227-013-2186-8</w:t>
        </w:r>
      </w:hyperlink>
      <w:r>
        <w:t xml:space="preserve">.</w:t>
      </w:r>
    </w:p>
    <w:bookmarkEnd w:id="72"/>
    <w:bookmarkStart w:id="73"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73"/>
    <w:bookmarkStart w:id="74"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74"/>
    <w:bookmarkStart w:id="76"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75">
        <w:r>
          <w:rPr>
            <w:rStyle w:val="Hyperlink"/>
          </w:rPr>
          <w:t xml:space="preserve">10.1007/s00227-012-1990-x</w:t>
        </w:r>
      </w:hyperlink>
      <w:r>
        <w:t xml:space="preserve">.</w:t>
      </w:r>
    </w:p>
    <w:bookmarkEnd w:id="76"/>
    <w:bookmarkEnd w:id="77"/>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25552F44">
          <wp:extent cx="1496153" cy="551877"/>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153"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hyperlink" Id="rId53" Target="https://doi.org/10.1007/BF00680216" TargetMode="External" /><Relationship Type="http://schemas.openxmlformats.org/officeDocument/2006/relationships/hyperlink" Id="rId75" Target="https://doi.org/10.1007/s00227-012-1990-x" TargetMode="External" /><Relationship Type="http://schemas.openxmlformats.org/officeDocument/2006/relationships/hyperlink" Id="rId71" Target="https://doi.org/10.1007/s00227-013-2186-8" TargetMode="External" /><Relationship Type="http://schemas.openxmlformats.org/officeDocument/2006/relationships/hyperlink" Id="rId55" Target="https://doi.org/10.1016/S0022-0981(00)00255-0" TargetMode="External" /><Relationship Type="http://schemas.openxmlformats.org/officeDocument/2006/relationships/hyperlink" Id="rId69" Target="https://doi.org/10.1046/j.1466-822X.2001.00259.x" TargetMode="External" /><Relationship Type="http://schemas.openxmlformats.org/officeDocument/2006/relationships/hyperlink" Id="rId63" Target="https://doi.org/10.1098/rsbl.2012.0821" TargetMode="External" /><Relationship Type="http://schemas.openxmlformats.org/officeDocument/2006/relationships/hyperlink" Id="rId67" Target="https://doi.org/10.1111/jpy.12237" TargetMode="External" /><Relationship Type="http://schemas.openxmlformats.org/officeDocument/2006/relationships/hyperlink" Id="rId31" Target="https://doi.org/10.1115/OMAE2017-62159" TargetMode="External" /><Relationship Type="http://schemas.openxmlformats.org/officeDocument/2006/relationships/hyperlink" Id="rId41" Target="https://doi.org/10.1146/annurev.es.16.110185.001243" TargetMode="External" /><Relationship Type="http://schemas.openxmlformats.org/officeDocument/2006/relationships/hyperlink" Id="rId48" Target="https://doi.org/10.1515/bot-2012-0193" TargetMode="External" /><Relationship Type="http://schemas.openxmlformats.org/officeDocument/2006/relationships/hyperlink" Id="rId33"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07/BF00680216" TargetMode="External" /><Relationship Type="http://schemas.openxmlformats.org/officeDocument/2006/relationships/hyperlink" Id="rId75" Target="https://doi.org/10.1007/s00227-012-1990-x" TargetMode="External" /><Relationship Type="http://schemas.openxmlformats.org/officeDocument/2006/relationships/hyperlink" Id="rId71" Target="https://doi.org/10.1007/s00227-013-2186-8" TargetMode="External" /><Relationship Type="http://schemas.openxmlformats.org/officeDocument/2006/relationships/hyperlink" Id="rId55" Target="https://doi.org/10.1016/S0022-0981(00)00255-0" TargetMode="External" /><Relationship Type="http://schemas.openxmlformats.org/officeDocument/2006/relationships/hyperlink" Id="rId69" Target="https://doi.org/10.1046/j.1466-822X.2001.00259.x" TargetMode="External" /><Relationship Type="http://schemas.openxmlformats.org/officeDocument/2006/relationships/hyperlink" Id="rId63" Target="https://doi.org/10.1098/rsbl.2012.0821" TargetMode="External" /><Relationship Type="http://schemas.openxmlformats.org/officeDocument/2006/relationships/hyperlink" Id="rId67" Target="https://doi.org/10.1111/jpy.12237" TargetMode="External" /><Relationship Type="http://schemas.openxmlformats.org/officeDocument/2006/relationships/hyperlink" Id="rId31" Target="https://doi.org/10.1115/OMAE2017-62159" TargetMode="External" /><Relationship Type="http://schemas.openxmlformats.org/officeDocument/2006/relationships/hyperlink" Id="rId41" Target="https://doi.org/10.1146/annurev.es.16.110185.001243" TargetMode="External" /><Relationship Type="http://schemas.openxmlformats.org/officeDocument/2006/relationships/hyperlink" Id="rId48" Target="https://doi.org/10.1515/bot-2012-0193" TargetMode="External" /><Relationship Type="http://schemas.openxmlformats.org/officeDocument/2006/relationships/hyperlink" Id="rId33"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Ross Coppin</dc:creator>
  <cp:keywords/>
  <dcterms:created xsi:type="dcterms:W3CDTF">2020-08-18T13:51:58Z</dcterms:created>
  <dcterms:modified xsi:type="dcterms:W3CDTF">2020-08-18T13:51:58Z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markdown/frontiers.csl.txt</vt:lpwstr>
  </property>
  <property fmtid="{D5CDD505-2E9C-101B-9397-08002B2CF9AE}" pid="4" name="output">
    <vt:lpwstr/>
  </property>
</Properties>
</file>