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cumentLabel"/>
        <w:rPr/>
      </w:pPr>
      <w:r>
        <w:rPr>
          <w:b/>
        </w:rPr>
        <w:t>OPERATING MODEL</w:t>
      </w:r>
    </w:p>
    <w:p>
      <w:pPr>
        <w:pStyle w:val="Title"/>
        <w:rPr/>
      </w:pPr>
      <w:r>
        <w:rPr/>
        <w:t>Power BI Administration</w:t>
        <w:br/>
        <w:t>and Support User Stories</w:t>
      </w:r>
    </w:p>
    <w:p>
      <w:pPr>
        <w:pStyle w:val="Normal"/>
        <w:spacing w:before="0" w:after="320"/>
        <w:rPr/>
      </w:pPr>
      <w:r>
        <w:rPr>
          <w:color w:val="5B6573"/>
          <w:sz w:val="28"/>
        </w:rPr>
        <w:t>Governed operational outcomes with clear accountability</w:t>
      </w:r>
    </w:p>
    <w:tbl>
      <w:tblPr>
        <w:tblW w:w="9936" w:type="dxa"/>
        <w:jc w:val="start"/>
        <w:tblInd w:w="101" w:type="dxa"/>
        <w:tblLayout w:type="fixed"/>
        <w:tblCellMar>
          <w:top w:w="0" w:type="dxa"/>
          <w:start w:w="108" w:type="dxa"/>
          <w:bottom w:w="0" w:type="dxa"/>
          <w:end w:w="108" w:type="dxa"/>
        </w:tblCellMar>
        <w:tblLook w:val="04a0" w:noHBand="0" w:noVBand="1" w:firstColumn="1" w:lastRow="0" w:lastColumn="0" w:firstRow="1"/>
      </w:tblPr>
      <w:tblGrid>
        <w:gridCol w:w="9936"/>
      </w:tblGrid>
      <w:tr>
        <w:trPr/>
        <w:tc>
          <w:tcPr>
            <w:tcW w:w="9936" w:type="dxa"/>
            <w:tcBorders>
              <w:top w:val="single" w:sz="6" w:space="0" w:color="0078D4"/>
              <w:start w:val="single" w:sz="6" w:space="0" w:color="0078D4"/>
              <w:bottom w:val="single" w:sz="6" w:space="0" w:color="0078D4"/>
              <w:end w:val="single" w:sz="6" w:space="0" w:color="0078D4"/>
            </w:tcBorders>
            <w:shd w:fill="0078D4" w:val="clear"/>
          </w:tcPr>
          <w:p>
            <w:pPr>
              <w:pStyle w:val="Normal"/>
              <w:widowControl/>
              <w:bidi w:val="0"/>
              <w:spacing w:lineRule="auto" w:line="240" w:before="0" w:after="80"/>
              <w:jc w:val="start"/>
              <w:rPr/>
            </w:pPr>
            <w:r>
              <w:rPr/>
            </w:r>
          </w:p>
        </w:tc>
      </w:tr>
    </w:tbl>
    <w:p>
      <w:pPr>
        <w:pStyle w:val="Normal"/>
        <w:rPr/>
      </w:pPr>
      <w:r>
        <w:rPr/>
      </w:r>
    </w:p>
    <w:tbl>
      <w:tblPr>
        <w:tblW w:w="9576" w:type="dxa"/>
        <w:jc w:val="start"/>
        <w:tblInd w:w="93" w:type="dxa"/>
        <w:tblLayout w:type="fixed"/>
        <w:tblCellMar>
          <w:top w:w="65" w:type="dxa"/>
          <w:start w:w="100" w:type="dxa"/>
          <w:bottom w:w="65" w:type="dxa"/>
          <w:end w:w="100" w:type="dxa"/>
        </w:tblCellMar>
        <w:tblLook w:val="04a0" w:noHBand="0" w:noVBand="1" w:firstColumn="1" w:lastRow="0" w:lastColumn="0" w:firstRow="1"/>
      </w:tblPr>
      <w:tblGrid>
        <w:gridCol w:w="2375"/>
        <w:gridCol w:w="7201"/>
      </w:tblGrid>
      <w:tr>
        <w:trPr/>
        <w:tc>
          <w:tcPr>
            <w:tcW w:w="2375" w:type="dxa"/>
            <w:tcBorders>
              <w:top w:val="single" w:sz="6" w:space="0" w:color="FFFFFF"/>
              <w:start w:val="single" w:sz="6" w:space="0" w:color="FFFFFF"/>
              <w:bottom w:val="single" w:sz="6" w:space="0" w:color="FFFFFF"/>
              <w:end w:val="single" w:sz="6" w:space="0" w:color="FFFFFF"/>
            </w:tcBorders>
            <w:shd w:fill="EAF3F8" w:val="clear"/>
            <w:vAlign w:val="center"/>
          </w:tcPr>
          <w:p>
            <w:pPr>
              <w:pStyle w:val="Normal"/>
              <w:spacing w:before="0" w:after="0"/>
              <w:rPr/>
            </w:pPr>
            <w:r>
              <w:rPr>
                <w:b/>
                <w:color w:val="17365D"/>
                <w:sz w:val="19"/>
              </w:rPr>
              <w:t>Purpose</w:t>
            </w:r>
          </w:p>
        </w:tc>
        <w:tc>
          <w:tcPr>
            <w:tcW w:w="7201" w:type="dxa"/>
            <w:tcBorders>
              <w:top w:val="single" w:sz="6" w:space="0" w:color="FFFFFF"/>
              <w:start w:val="single" w:sz="6" w:space="0" w:color="FFFFFF"/>
              <w:bottom w:val="single" w:sz="6" w:space="0" w:color="FFFFFF"/>
              <w:end w:val="single" w:sz="6" w:space="0" w:color="FFFFFF"/>
            </w:tcBorders>
            <w:shd w:fill="FFFFFF" w:val="clear"/>
            <w:vAlign w:val="center"/>
          </w:tcPr>
          <w:p>
            <w:pPr>
              <w:pStyle w:val="Normal"/>
              <w:spacing w:before="0" w:after="0"/>
              <w:rPr/>
            </w:pPr>
            <w:r>
              <w:rPr>
                <w:b w:val="false"/>
                <w:color w:val="1F2937"/>
                <w:sz w:val="19"/>
              </w:rPr>
              <w:t>Define the administrative and support outcomes required around Power BI and Microsoft Fabric.</w:t>
            </w:r>
          </w:p>
        </w:tc>
      </w:tr>
      <w:tr>
        <w:trPr/>
        <w:tc>
          <w:tcPr>
            <w:tcW w:w="2375" w:type="dxa"/>
            <w:tcBorders>
              <w:top w:val="single" w:sz="6" w:space="0" w:color="FFFFFF"/>
              <w:start w:val="single" w:sz="6" w:space="0" w:color="FFFFFF"/>
              <w:bottom w:val="single" w:sz="6" w:space="0" w:color="FFFFFF"/>
              <w:end w:val="single" w:sz="6" w:space="0" w:color="FFFFFF"/>
            </w:tcBorders>
            <w:shd w:fill="EAF3F8" w:val="clear"/>
            <w:vAlign w:val="center"/>
          </w:tcPr>
          <w:p>
            <w:pPr>
              <w:pStyle w:val="Normal"/>
              <w:spacing w:before="0" w:after="0"/>
              <w:rPr/>
            </w:pPr>
            <w:r>
              <w:rPr>
                <w:b/>
                <w:color w:val="17365D"/>
                <w:sz w:val="19"/>
              </w:rPr>
              <w:t>Scope</w:t>
            </w:r>
          </w:p>
        </w:tc>
        <w:tc>
          <w:tcPr>
            <w:tcW w:w="7201" w:type="dxa"/>
            <w:tcBorders>
              <w:top w:val="single" w:sz="6" w:space="0" w:color="FFFFFF"/>
              <w:start w:val="single" w:sz="6" w:space="0" w:color="FFFFFF"/>
              <w:bottom w:val="single" w:sz="6" w:space="0" w:color="FFFFFF"/>
              <w:end w:val="single" w:sz="6" w:space="0" w:color="FFFFFF"/>
            </w:tcBorders>
            <w:shd w:fill="FFFFFF" w:val="clear"/>
            <w:vAlign w:val="center"/>
          </w:tcPr>
          <w:p>
            <w:pPr>
              <w:pStyle w:val="Normal"/>
              <w:spacing w:before="0" w:after="0"/>
              <w:rPr/>
            </w:pPr>
            <w:r>
              <w:rPr>
                <w:b w:val="false"/>
                <w:color w:val="1F2937"/>
                <w:sz w:val="19"/>
              </w:rPr>
              <w:t>Nine user stories covering governance, provisioning, operations, access, publishing, monitoring and assurance.</w:t>
            </w:r>
          </w:p>
        </w:tc>
      </w:tr>
      <w:tr>
        <w:trPr/>
        <w:tc>
          <w:tcPr>
            <w:tcW w:w="2375" w:type="dxa"/>
            <w:tcBorders>
              <w:top w:val="single" w:sz="6" w:space="0" w:color="FFFFFF"/>
              <w:start w:val="single" w:sz="6" w:space="0" w:color="FFFFFF"/>
              <w:bottom w:val="single" w:sz="6" w:space="0" w:color="FFFFFF"/>
              <w:end w:val="single" w:sz="6" w:space="0" w:color="FFFFFF"/>
            </w:tcBorders>
            <w:shd w:fill="EAF3F8" w:val="clear"/>
            <w:vAlign w:val="center"/>
          </w:tcPr>
          <w:p>
            <w:pPr>
              <w:pStyle w:val="Normal"/>
              <w:spacing w:before="0" w:after="0"/>
              <w:rPr/>
            </w:pPr>
            <w:r>
              <w:rPr>
                <w:b/>
                <w:color w:val="17365D"/>
                <w:sz w:val="19"/>
              </w:rPr>
              <w:t>Operating principle</w:t>
            </w:r>
          </w:p>
        </w:tc>
        <w:tc>
          <w:tcPr>
            <w:tcW w:w="7201" w:type="dxa"/>
            <w:tcBorders>
              <w:top w:val="single" w:sz="6" w:space="0" w:color="FFFFFF"/>
              <w:start w:val="single" w:sz="6" w:space="0" w:color="FFFFFF"/>
              <w:bottom w:val="single" w:sz="6" w:space="0" w:color="FFFFFF"/>
              <w:end w:val="single" w:sz="6" w:space="0" w:color="FFFFFF"/>
            </w:tcBorders>
            <w:shd w:fill="FFFFFF" w:val="clear"/>
            <w:vAlign w:val="center"/>
          </w:tcPr>
          <w:p>
            <w:pPr>
              <w:pStyle w:val="Normal"/>
              <w:spacing w:before="0" w:after="0"/>
              <w:rPr/>
            </w:pPr>
            <w:r>
              <w:rPr>
                <w:b w:val="false"/>
                <w:color w:val="1F2937"/>
                <w:sz w:val="19"/>
              </w:rPr>
              <w:t>Requests enter through controlled support routes; accountable decisions remain with named service or business owners.</w:t>
            </w:r>
          </w:p>
        </w:tc>
      </w:tr>
      <w:tr>
        <w:trPr/>
        <w:tc>
          <w:tcPr>
            <w:tcW w:w="2375" w:type="dxa"/>
            <w:tcBorders>
              <w:top w:val="single" w:sz="6" w:space="0" w:color="FFFFFF"/>
              <w:start w:val="single" w:sz="6" w:space="0" w:color="FFFFFF"/>
              <w:bottom w:val="single" w:sz="6" w:space="0" w:color="FFFFFF"/>
              <w:end w:val="single" w:sz="6" w:space="0" w:color="FFFFFF"/>
            </w:tcBorders>
            <w:shd w:fill="EAF3F8" w:val="clear"/>
            <w:vAlign w:val="center"/>
          </w:tcPr>
          <w:p>
            <w:pPr>
              <w:pStyle w:val="Normal"/>
              <w:spacing w:before="0" w:after="0"/>
              <w:rPr/>
            </w:pPr>
            <w:r>
              <w:rPr>
                <w:b/>
                <w:color w:val="17365D"/>
                <w:sz w:val="19"/>
              </w:rPr>
              <w:t>Status</w:t>
            </w:r>
          </w:p>
        </w:tc>
        <w:tc>
          <w:tcPr>
            <w:tcW w:w="7201" w:type="dxa"/>
            <w:tcBorders>
              <w:top w:val="single" w:sz="6" w:space="0" w:color="FFFFFF"/>
              <w:start w:val="single" w:sz="6" w:space="0" w:color="FFFFFF"/>
              <w:bottom w:val="single" w:sz="6" w:space="0" w:color="FFFFFF"/>
              <w:end w:val="single" w:sz="6" w:space="0" w:color="FFFFFF"/>
            </w:tcBorders>
            <w:shd w:fill="FFFFFF" w:val="clear"/>
            <w:vAlign w:val="center"/>
          </w:tcPr>
          <w:p>
            <w:pPr>
              <w:pStyle w:val="Normal"/>
              <w:spacing w:before="0" w:after="0"/>
              <w:rPr/>
            </w:pPr>
            <w:r>
              <w:rPr>
                <w:b w:val="false"/>
                <w:color w:val="1F2937"/>
                <w:sz w:val="19"/>
              </w:rPr>
              <w:t>Draft for role validation and adoption into the service management model.</w:t>
            </w:r>
          </w:p>
        </w:tc>
      </w:tr>
    </w:tbl>
    <w:p>
      <w:pPr>
        <w:pStyle w:val="Normal"/>
        <w:spacing w:before="440" w:after="80"/>
        <w:rPr>
          <w:color w:val="5B6573"/>
        </w:rPr>
      </w:pPr>
      <w:r>
        <w:rPr/>
      </w:r>
    </w:p>
    <w:p>
      <w:pPr>
        <w:pStyle w:val="Normal"/>
        <w:rPr/>
      </w:pPr>
      <w:r>
        <w:rPr/>
      </w:r>
      <w:r>
        <w:br w:type="page"/>
      </w:r>
    </w:p>
    <w:p>
      <w:pPr>
        <w:pStyle w:val="Heading1"/>
        <w:spacing w:before="0" w:after="100"/>
        <w:rPr/>
      </w:pPr>
      <w:r>
        <w:rPr/>
        <w:t>1. How to use this document</w:t>
      </w:r>
    </w:p>
    <w:p>
      <w:pPr>
        <w:pStyle w:val="Normal"/>
        <w:rPr/>
      </w:pPr>
      <w:r>
        <w:rPr/>
        <w:t>These are service user stories rather than end-to-end process flows. Each story defines the operational need, the outcome to be achieved, acceptance criteria and a RACI allocation. Detailed procedures, runbooks and decision thresholds should sit beneath these stories and can evolve without changing the core accountability model.</w:t>
      </w:r>
    </w:p>
    <w:tbl>
      <w:tblPr>
        <w:tblW w:w="10080" w:type="dxa"/>
        <w:jc w:val="start"/>
        <w:tblInd w:w="213"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6" w:space="0" w:color="E6B800"/>
              <w:start w:val="single" w:sz="6" w:space="0" w:color="E6B800"/>
              <w:bottom w:val="single" w:sz="6" w:space="0" w:color="E6B800"/>
              <w:end w:val="single" w:sz="6" w:space="0" w:color="E6B800"/>
            </w:tcBorders>
            <w:shd w:fill="FFF4CE" w:val="clear"/>
          </w:tcPr>
          <w:p>
            <w:pPr>
              <w:pStyle w:val="Normal"/>
              <w:widowControl/>
              <w:bidi w:val="0"/>
              <w:spacing w:lineRule="auto" w:line="240" w:before="0" w:after="80"/>
              <w:jc w:val="start"/>
              <w:rPr/>
            </w:pPr>
            <w:r>
              <w:rPr>
                <w:b/>
                <w:color w:val="806000"/>
              </w:rPr>
              <w:t xml:space="preserve">Important assumption: </w:t>
            </w:r>
            <w:r>
              <w:rPr/>
              <w:t>role names are deliberately generic so the model can be mapped to the client’s actual teams. Where one team holds several roles, the RACI should still be read as separate accountabilities rather than collapsed responsibilities.</w:t>
            </w:r>
          </w:p>
        </w:tc>
      </w:tr>
    </w:tbl>
    <w:p>
      <w:pPr>
        <w:pStyle w:val="Heading2"/>
        <w:rPr/>
      </w:pPr>
      <w:r>
        <w:rPr/>
        <w:t>RACI definition</w:t>
      </w:r>
    </w:p>
    <w:tbl>
      <w:tblPr>
        <w:tblW w:w="9360" w:type="dxa"/>
        <w:jc w:val="center"/>
        <w:tblInd w:w="0" w:type="dxa"/>
        <w:tblLayout w:type="fixed"/>
        <w:tblCellMar>
          <w:top w:w="160" w:type="dxa"/>
          <w:start w:w="140" w:type="dxa"/>
          <w:bottom w:w="160" w:type="dxa"/>
          <w:end w:w="140" w:type="dxa"/>
        </w:tblCellMar>
        <w:tblLook w:val="04a0" w:noHBand="0" w:noVBand="1" w:firstColumn="1" w:lastRow="0" w:lastColumn="0" w:firstRow="1"/>
      </w:tblPr>
      <w:tblGrid>
        <w:gridCol w:w="2232"/>
        <w:gridCol w:w="2448"/>
        <w:gridCol w:w="2232"/>
        <w:gridCol w:w="2448"/>
      </w:tblGrid>
      <w:tr>
        <w:trPr/>
        <w:tc>
          <w:tcPr>
            <w:tcW w:w="2232" w:type="dxa"/>
            <w:tcBorders>
              <w:top w:val="single" w:sz="8" w:space="0" w:color="008272"/>
              <w:start w:val="single" w:sz="8" w:space="0" w:color="008272"/>
              <w:bottom w:val="single" w:sz="8" w:space="0" w:color="008272"/>
              <w:end w:val="single" w:sz="8" w:space="0" w:color="008272"/>
            </w:tcBorders>
            <w:shd w:fill="F4F6F8" w:val="clear"/>
          </w:tcPr>
          <w:p>
            <w:pPr>
              <w:pStyle w:val="Normal"/>
              <w:spacing w:before="0" w:after="80"/>
              <w:jc w:val="center"/>
              <w:rPr/>
            </w:pPr>
            <w:r>
              <w:rPr>
                <w:b/>
                <w:color w:val="008272"/>
                <w:sz w:val="20"/>
              </w:rPr>
              <w:t>R  Responsible</w:t>
            </w:r>
            <w:r>
              <w:rPr>
                <w:sz w:val="17"/>
              </w:rPr>
              <w:br/>
              <w:t>Does the work</w:t>
            </w:r>
          </w:p>
        </w:tc>
        <w:tc>
          <w:tcPr>
            <w:tcW w:w="2448" w:type="dxa"/>
            <w:tcBorders>
              <w:top w:val="single" w:sz="8" w:space="0" w:color="0078D4"/>
              <w:start w:val="single" w:sz="8" w:space="0" w:color="0078D4"/>
              <w:bottom w:val="single" w:sz="8" w:space="0" w:color="0078D4"/>
              <w:end w:val="single" w:sz="8" w:space="0" w:color="0078D4"/>
            </w:tcBorders>
            <w:shd w:fill="F4F6F8" w:val="clear"/>
          </w:tcPr>
          <w:p>
            <w:pPr>
              <w:pStyle w:val="Normal"/>
              <w:spacing w:before="0" w:after="80"/>
              <w:jc w:val="center"/>
              <w:rPr/>
            </w:pPr>
            <w:r>
              <w:rPr>
                <w:b/>
                <w:color w:val="0078D4"/>
                <w:sz w:val="20"/>
              </w:rPr>
              <w:t>A  Accountable</w:t>
            </w:r>
            <w:r>
              <w:rPr>
                <w:sz w:val="17"/>
              </w:rPr>
              <w:br/>
              <w:t>Owns the outcome</w:t>
            </w:r>
          </w:p>
        </w:tc>
        <w:tc>
          <w:tcPr>
            <w:tcW w:w="2232" w:type="dxa"/>
            <w:tcBorders>
              <w:top w:val="single" w:sz="8" w:space="0" w:color="806000"/>
              <w:start w:val="single" w:sz="8" w:space="0" w:color="806000"/>
              <w:bottom w:val="single" w:sz="8" w:space="0" w:color="806000"/>
              <w:end w:val="single" w:sz="8" w:space="0" w:color="806000"/>
            </w:tcBorders>
            <w:shd w:fill="F4F6F8" w:val="clear"/>
          </w:tcPr>
          <w:p>
            <w:pPr>
              <w:pStyle w:val="Normal"/>
              <w:spacing w:before="0" w:after="80"/>
              <w:jc w:val="center"/>
              <w:rPr/>
            </w:pPr>
            <w:r>
              <w:rPr>
                <w:b/>
                <w:color w:val="806000"/>
                <w:sz w:val="20"/>
              </w:rPr>
              <w:t>C  Consulted</w:t>
            </w:r>
            <w:r>
              <w:rPr>
                <w:sz w:val="17"/>
              </w:rPr>
              <w:br/>
              <w:t>Provides input</w:t>
            </w:r>
          </w:p>
        </w:tc>
        <w:tc>
          <w:tcPr>
            <w:tcW w:w="2448" w:type="dxa"/>
            <w:tcBorders>
              <w:top w:val="single" w:sz="8" w:space="0" w:color="5B6573"/>
              <w:start w:val="single" w:sz="8" w:space="0" w:color="5B6573"/>
              <w:bottom w:val="single" w:sz="8" w:space="0" w:color="5B6573"/>
              <w:end w:val="single" w:sz="8" w:space="0" w:color="5B6573"/>
            </w:tcBorders>
            <w:shd w:fill="F4F6F8" w:val="clear"/>
          </w:tcPr>
          <w:p>
            <w:pPr>
              <w:pStyle w:val="Normal"/>
              <w:spacing w:before="0" w:after="80"/>
              <w:jc w:val="center"/>
              <w:rPr/>
            </w:pPr>
            <w:r>
              <w:rPr>
                <w:b/>
                <w:color w:val="5B6573"/>
                <w:sz w:val="20"/>
              </w:rPr>
              <w:t>I  Informed</w:t>
            </w:r>
            <w:r>
              <w:rPr>
                <w:sz w:val="17"/>
              </w:rPr>
              <w:br/>
              <w:t>Kept aware</w:t>
            </w:r>
          </w:p>
        </w:tc>
      </w:tr>
    </w:tbl>
    <w:p>
      <w:pPr>
        <w:pStyle w:val="Heading2"/>
        <w:rPr/>
      </w:pPr>
      <w:r>
        <w:rPr/>
        <w:t>Design decisions captured from the brief</w:t>
      </w:r>
    </w:p>
    <w:p>
      <w:pPr>
        <w:pStyle w:val="ListBullet"/>
        <w:numPr>
          <w:ilvl w:val="0"/>
          <w:numId w:val="1"/>
        </w:numPr>
        <w:spacing w:before="0" w:after="60"/>
        <w:ind w:hanging="360" w:start="317"/>
        <w:contextualSpacing/>
        <w:rPr/>
      </w:pPr>
      <w:r>
        <w:rPr/>
        <w:t>Workspace creation is a controlled service request. The requesting person does not create the workspace directly.</w:t>
      </w:r>
    </w:p>
    <w:p>
      <w:pPr>
        <w:pStyle w:val="ListBullet"/>
        <w:numPr>
          <w:ilvl w:val="0"/>
          <w:numId w:val="1"/>
        </w:numPr>
        <w:spacing w:before="0" w:after="60"/>
        <w:ind w:hanging="360" w:start="317"/>
        <w:contextualSpacing/>
        <w:rPr/>
      </w:pPr>
      <w:r>
        <w:rPr/>
        <w:t>Power BI Pro is the default workspace placement. Fabric capacity requires documented eligibility and approval.</w:t>
      </w:r>
    </w:p>
    <w:p>
      <w:pPr>
        <w:pStyle w:val="ListBullet"/>
        <w:numPr>
          <w:ilvl w:val="0"/>
          <w:numId w:val="1"/>
        </w:numPr>
        <w:spacing w:before="0" w:after="60"/>
        <w:ind w:hanging="360" w:start="317"/>
        <w:contextualSpacing/>
        <w:rPr/>
      </w:pPr>
      <w:r>
        <w:rPr/>
        <w:t>Microsoft Entra security groups are used where group-based workspace app access is required.</w:t>
      </w:r>
    </w:p>
    <w:p>
      <w:pPr>
        <w:pStyle w:val="ListBullet"/>
        <w:numPr>
          <w:ilvl w:val="0"/>
          <w:numId w:val="1"/>
        </w:numPr>
        <w:spacing w:before="0" w:after="60"/>
        <w:ind w:hanging="360" w:start="317"/>
        <w:contextualSpacing/>
        <w:rPr/>
      </w:pPr>
      <w:r>
        <w:rPr/>
        <w:t>Workspace apps are in scope. Organisational apps are explicitly out of scope at present.</w:t>
      </w:r>
    </w:p>
    <w:p>
      <w:pPr>
        <w:pStyle w:val="ListBullet"/>
        <w:numPr>
          <w:ilvl w:val="0"/>
          <w:numId w:val="1"/>
        </w:numPr>
        <w:spacing w:before="0" w:after="60"/>
        <w:ind w:hanging="360" w:start="317"/>
        <w:contextualSpacing/>
        <w:rPr/>
      </w:pPr>
      <w:r>
        <w:rPr/>
        <w:t>Each story separates accountability from the detailed sequence of tasks, allowing supporting procedures to change without weakening governance.</w:t>
      </w:r>
    </w:p>
    <w:p>
      <w:pPr>
        <w:pStyle w:val="Heading2"/>
        <w:rPr/>
      </w:pPr>
      <w:r>
        <w:rPr/>
        <w:t>Actors</w:t>
      </w:r>
    </w:p>
    <w:p>
      <w:pPr>
        <w:pStyle w:val="Normal"/>
        <w:rPr/>
      </w:pPr>
      <w:r>
        <w:rPr/>
        <w:t>Power BI &amp; Fabric Service Owner</w:t>
      </w:r>
    </w:p>
    <w:p>
      <w:pPr>
        <w:pStyle w:val="Normal"/>
        <w:rPr/>
      </w:pPr>
      <w:r>
        <w:rPr/>
        <w:t>Business Owner</w:t>
      </w:r>
    </w:p>
    <w:p>
      <w:pPr>
        <w:pStyle w:val="Normal"/>
        <w:rPr/>
      </w:pPr>
      <w:r>
        <w:rPr/>
        <w:t>Fabric Administrator</w:t>
      </w:r>
    </w:p>
    <w:p>
      <w:pPr>
        <w:pStyle w:val="Normal"/>
        <w:rPr/>
      </w:pPr>
      <w:r>
        <w:rPr/>
        <w:t>Service Desk</w:t>
      </w:r>
    </w:p>
    <w:p>
      <w:pPr>
        <w:pStyle w:val="Normal"/>
        <w:rPr/>
      </w:pPr>
      <w:r>
        <w:rPr/>
        <w:t>Solution Developer</w:t>
      </w:r>
    </w:p>
    <w:p>
      <w:pPr>
        <w:pStyle w:val="Normal"/>
        <w:rPr/>
      </w:pPr>
      <w:r>
        <w:rPr/>
        <w:t>Security/Governance Team</w:t>
      </w:r>
    </w:p>
    <w:p>
      <w:pPr>
        <w:pStyle w:val="Heading2"/>
        <w:rPr/>
      </w:pPr>
      <w:r>
        <w:rPr/>
        <w:t>Story catalogue</w:t>
      </w:r>
    </w:p>
    <w:tbl>
      <w:tblPr>
        <w:tblW w:w="9648"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1079"/>
        <w:gridCol w:w="8569"/>
      </w:tblGrid>
      <w:tr>
        <w:trPr/>
        <w:tc>
          <w:tcPr>
            <w:tcW w:w="1079" w:type="dxa"/>
            <w:tcBorders/>
            <w:shd w:fill="17365D" w:val="clear"/>
            <w:vAlign w:val="center"/>
          </w:tcPr>
          <w:p>
            <w:pPr>
              <w:pStyle w:val="Normal"/>
              <w:spacing w:before="0" w:after="0"/>
              <w:rPr/>
            </w:pPr>
            <w:r>
              <w:rPr>
                <w:b/>
                <w:color w:val="FFFFFF"/>
                <w:sz w:val="18"/>
              </w:rPr>
              <w:t>ID</w:t>
            </w:r>
          </w:p>
        </w:tc>
        <w:tc>
          <w:tcPr>
            <w:tcW w:w="8569" w:type="dxa"/>
            <w:tcBorders/>
            <w:shd w:fill="17365D" w:val="clear"/>
            <w:vAlign w:val="center"/>
          </w:tcPr>
          <w:p>
            <w:pPr>
              <w:pStyle w:val="Normal"/>
              <w:spacing w:before="0" w:after="0"/>
              <w:rPr/>
            </w:pPr>
            <w:r>
              <w:rPr>
                <w:b/>
                <w:color w:val="FFFFFF"/>
                <w:sz w:val="18"/>
              </w:rPr>
              <w:t>User story</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US-01</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Review Tenant Settings</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US-02</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Workspace Creation and Access Group Provisioning</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US-03</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Refresh Failure to Resolution</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US-04</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Enterprise Gateway Maintenance</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US-05</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Fabric Capacity Monitoring</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US-06</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Review Workspace Permissions</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US-07</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Workspace App Publication</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US-08</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Usage Monitoring</w:t>
            </w:r>
          </w:p>
        </w:tc>
      </w:tr>
      <w:tr>
        <w:trPr/>
        <w:tc>
          <w:tcPr>
            <w:tcW w:w="107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US-09</w:t>
            </w:r>
          </w:p>
        </w:tc>
        <w:tc>
          <w:tcPr>
            <w:tcW w:w="8569"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Compliance Audits</w:t>
            </w:r>
          </w:p>
        </w:tc>
      </w:tr>
    </w:tbl>
    <w:p>
      <w:pPr>
        <w:pStyle w:val="Normal"/>
        <w:rPr/>
      </w:pPr>
      <w:r>
        <w:rPr/>
      </w:r>
      <w:r>
        <w:br w:type="page"/>
      </w:r>
    </w:p>
    <w:p>
      <w:pPr>
        <w:pStyle w:val="Heading1"/>
        <w:spacing w:before="0" w:after="100"/>
        <w:rPr/>
      </w:pPr>
      <w:r>
        <w:rPr/>
        <w:t>2. RACI overview</w:t>
      </w:r>
    </w:p>
    <w:p>
      <w:pPr>
        <w:pStyle w:val="Normal"/>
        <w:rPr/>
      </w:pPr>
      <w:r>
        <w:rPr/>
        <w:t>The matrix below shows the primary accountable and responsible roles. The detailed story pages add consulted and informed roles, plus the exact responsibility carried by each role.</w:t>
      </w:r>
    </w:p>
    <w:tbl>
      <w:tblPr>
        <w:tblW w:w="9864"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3528"/>
        <w:gridCol w:w="2951"/>
        <w:gridCol w:w="3385"/>
      </w:tblGrid>
      <w:tr>
        <w:trPr>
          <w:tblHeader w:val="true"/>
        </w:trPr>
        <w:tc>
          <w:tcPr>
            <w:tcW w:w="3528"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8"/>
              </w:rPr>
              <w:t>User story</w:t>
            </w:r>
          </w:p>
        </w:tc>
        <w:tc>
          <w:tcPr>
            <w:tcW w:w="2951"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8"/>
              </w:rPr>
              <w:t>Accountable</w:t>
            </w:r>
          </w:p>
        </w:tc>
        <w:tc>
          <w:tcPr>
            <w:tcW w:w="3385"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8"/>
              </w:rPr>
              <w:t>Responsible</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Review Tenant Settings</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Power BI &amp; Fabric Service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Fabric Administrator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Workspace Creation</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Power BI &amp; Fabric Service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Service Desk</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Refresh Failure to Resolution</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Business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Solution Developer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Enterprise Gateway Maintenance</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Power BI &amp; Fabric Service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Fabric Administrator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Fabric Capacity Monitoring</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Power BI &amp; Fabric Service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Fabric Administrator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Review Workspace Permissions</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Business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Solution Developer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Workspace App Publication</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Business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Solution Developer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Usage Monitoring</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Business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Solution Developer</w:t>
            </w:r>
          </w:p>
        </w:tc>
      </w:tr>
      <w:tr>
        <w:trPr/>
        <w:tc>
          <w:tcPr>
            <w:tcW w:w="3528"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color w:val="008272"/>
                <w:sz w:val="18"/>
              </w:rPr>
              <w:t>Compliance Audits</w:t>
            </w:r>
          </w:p>
        </w:tc>
        <w:tc>
          <w:tcPr>
            <w:tcW w:w="2951"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Power BI &amp; Fabric Service Owner</w:t>
            </w:r>
          </w:p>
        </w:tc>
        <w:tc>
          <w:tcPr>
            <w:tcW w:w="3385" w:type="dxa"/>
            <w:tcBorders>
              <w:top w:val="single" w:sz="6" w:space="0" w:color="D9E2F3"/>
              <w:start w:val="single" w:sz="6" w:space="0" w:color="D9E2F3"/>
              <w:bottom w:val="single" w:sz="6" w:space="0" w:color="D9E2F3"/>
              <w:end w:val="single" w:sz="6" w:space="0" w:color="D9E2F3"/>
            </w:tcBorders>
            <w:vAlign w:val="center"/>
          </w:tcPr>
          <w:p>
            <w:pPr>
              <w:pStyle w:val="Normal"/>
              <w:spacing w:before="0" w:after="0"/>
              <w:rPr/>
            </w:pPr>
            <w:r>
              <w:rPr>
                <w:b w:val="false"/>
                <w:color w:val="1F2937"/>
                <w:sz w:val="18"/>
              </w:rPr>
              <w:t>Security</w:t>
            </w:r>
          </w:p>
        </w:tc>
      </w:tr>
    </w:tbl>
    <w:p>
      <w:pPr>
        <w:pStyle w:val="Normal"/>
        <w:rPr/>
      </w:pPr>
      <w:r>
        <w:rPr/>
      </w:r>
      <w:r>
        <w:br w:type="page"/>
      </w:r>
    </w:p>
    <w:p>
      <w:pPr>
        <w:pStyle w:val="DocumentLabel"/>
        <w:spacing w:before="0" w:after="200"/>
        <w:rPr/>
      </w:pPr>
      <w:r>
        <w:rPr/>
        <w:t>US-01  |  SERVICE USER STORY</w:t>
      </w:r>
    </w:p>
    <w:p>
      <w:pPr>
        <w:pStyle w:val="Heading1"/>
        <w:rPr/>
      </w:pPr>
      <w:r>
        <w:rPr/>
        <w:t>Review Tenant Settings</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the Power BI &amp; Fabric Service Owner, I want tenant settings to be reviewed against agreed governance, security and enablement principles, so that platform capabilities remain appropriately controlled without unnecessarily obstructing legitimate business use.</w:t>
            </w:r>
          </w:p>
        </w:tc>
      </w:tr>
    </w:tbl>
    <w:p>
      <w:pPr>
        <w:pStyle w:val="Normal"/>
        <w:spacing w:before="0" w:after="100"/>
        <w:rPr/>
      </w:pPr>
      <w:r>
        <w:rPr>
          <w:b/>
          <w:color w:val="008272"/>
        </w:rPr>
        <w:t xml:space="preserve">Trigger  </w:t>
      </w:r>
      <w:r>
        <w:rPr/>
        <w:t>Scheduled governance review, a material Microsoft service change, an audit finding, or a formally approved change request.</w:t>
      </w:r>
    </w:p>
    <w:p>
      <w:pPr>
        <w:pStyle w:val="Normal"/>
        <w:spacing w:before="0" w:after="100"/>
        <w:rPr/>
      </w:pPr>
      <w:r>
        <w:rPr>
          <w:b/>
          <w:color w:val="008272"/>
        </w:rPr>
        <w:t xml:space="preserve">Outcome  </w:t>
      </w:r>
      <w:r>
        <w:rPr/>
        <w:t>A controlled, documented and evidence-based decision on each setting within scope.</w:t>
      </w:r>
    </w:p>
    <w:p>
      <w:pPr>
        <w:pStyle w:val="Heading2"/>
        <w:rPr/>
      </w:pPr>
      <w:r>
        <w:rPr/>
        <w:t>Acceptance criteria</w:t>
      </w:r>
    </w:p>
    <w:p>
      <w:pPr>
        <w:pStyle w:val="Normal"/>
        <w:spacing w:before="0" w:after="40"/>
        <w:ind w:hanging="173" w:start="173"/>
        <w:rPr/>
      </w:pPr>
      <w:r>
        <w:rPr>
          <w:b/>
          <w:color w:val="0078D4"/>
        </w:rPr>
        <w:t xml:space="preserve">1.  </w:t>
      </w:r>
      <w:r>
        <w:rPr/>
        <w:t>The current tenant setting, scope and permitted security groups are captured.</w:t>
      </w:r>
    </w:p>
    <w:p>
      <w:pPr>
        <w:pStyle w:val="Normal"/>
        <w:spacing w:before="0" w:after="40"/>
        <w:ind w:hanging="173" w:start="173"/>
        <w:rPr/>
      </w:pPr>
      <w:r>
        <w:rPr>
          <w:b/>
          <w:color w:val="0078D4"/>
        </w:rPr>
        <w:t xml:space="preserve">2.  </w:t>
      </w:r>
      <w:r>
        <w:rPr/>
        <w:t>The business purpose, security impact and user impact of any proposed change are assessed.</w:t>
      </w:r>
    </w:p>
    <w:p>
      <w:pPr>
        <w:pStyle w:val="Normal"/>
        <w:spacing w:before="0" w:after="40"/>
        <w:ind w:hanging="173" w:start="173"/>
        <w:rPr/>
      </w:pPr>
      <w:r>
        <w:rPr>
          <w:b/>
          <w:color w:val="0078D4"/>
        </w:rPr>
        <w:t xml:space="preserve">3.  </w:t>
      </w:r>
      <w:r>
        <w:rPr/>
        <w:t>Decisions are recorded with an accountable approver and supporting rationale.</w:t>
      </w:r>
    </w:p>
    <w:p>
      <w:pPr>
        <w:pStyle w:val="Normal"/>
        <w:spacing w:before="0" w:after="40"/>
        <w:ind w:hanging="173" w:start="173"/>
        <w:rPr/>
      </w:pPr>
      <w:r>
        <w:rPr>
          <w:b/>
          <w:color w:val="0078D4"/>
        </w:rPr>
        <w:t xml:space="preserve">4.  </w:t>
      </w:r>
      <w:r>
        <w:rPr/>
        <w:t>Approved changes are implemented by an authorised administrator and independently checked.</w:t>
      </w:r>
    </w:p>
    <w:p>
      <w:pPr>
        <w:pStyle w:val="Normal"/>
        <w:spacing w:before="0" w:after="40"/>
        <w:ind w:hanging="173" w:start="173"/>
        <w:rPr/>
      </w:pPr>
      <w:r>
        <w:rPr>
          <w:b/>
          <w:color w:val="0078D4"/>
        </w:rPr>
        <w:t xml:space="preserve">5.  </w:t>
      </w:r>
      <w:r>
        <w:rPr/>
        <w:t>The tenant settings register and change record are updated.</w:t>
      </w:r>
    </w:p>
    <w:p>
      <w:pPr>
        <w:pStyle w:val="Normal"/>
        <w:spacing w:before="0" w:after="40"/>
        <w:ind w:hanging="173" w:start="173"/>
        <w:rPr/>
      </w:pPr>
      <w:r>
        <w:rPr>
          <w:b/>
          <w:color w:val="0078D4"/>
        </w:rPr>
        <w:t xml:space="preserve">6.  </w:t>
      </w:r>
      <w:r>
        <w:rPr/>
        <w:t>Affected stakeholders receive proportionate communication where user experience changes.</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&amp; Fabric Service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the governance decision and approves the resulting configuration.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Performs the review, implements approved changes and records evidence.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 / Compliance</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on security, privacy, regulatory and control implications.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Receives updated support guidance for changes affecting users.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Community / Business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Are informed where a change affects available capability or expected behaviour.</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US-02  |  SERVICE USER STORY</w:t>
      </w:r>
    </w:p>
    <w:p>
      <w:pPr>
        <w:pStyle w:val="Heading1"/>
        <w:rPr/>
      </w:pPr>
      <w:r>
        <w:rPr/>
        <w:t>Workspace Creation and Access Group Provisioning</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a requesting business owner, I want a new Power BI workspace to be provisioned through the Service Desk, so that the workspace is created consistently, assigned to Power BI Pro by default, and only placed on Fabric capacity when the agreed criteria are met.</w:t>
            </w:r>
          </w:p>
        </w:tc>
      </w:tr>
    </w:tbl>
    <w:p>
      <w:pPr>
        <w:pStyle w:val="Normal"/>
        <w:spacing w:before="0" w:after="100"/>
        <w:rPr/>
      </w:pPr>
      <w:r>
        <w:rPr>
          <w:b/>
          <w:color w:val="008272"/>
        </w:rPr>
        <w:t xml:space="preserve">Trigger  </w:t>
      </w:r>
      <w:r>
        <w:rPr/>
        <w:t>A requester submits a complete workspace request through the Service Desk. The requesting person does not create the workspace directly.</w:t>
      </w:r>
    </w:p>
    <w:p>
      <w:pPr>
        <w:pStyle w:val="Normal"/>
        <w:spacing w:before="0" w:after="100"/>
        <w:rPr/>
      </w:pPr>
      <w:r>
        <w:rPr>
          <w:b/>
          <w:color w:val="008272"/>
        </w:rPr>
        <w:t xml:space="preserve">Outcome  </w:t>
      </w:r>
      <w:r>
        <w:rPr/>
        <w:t>A governed workspace with named ownership, appropriate access controls and a recorded licensing or capacity decision.</w:t>
      </w:r>
    </w:p>
    <w:p>
      <w:pPr>
        <w:pStyle w:val="Heading2"/>
        <w:rPr/>
      </w:pPr>
      <w:r>
        <w:rPr/>
        <w:t>Acceptance criteria</w:t>
      </w:r>
    </w:p>
    <w:p>
      <w:pPr>
        <w:pStyle w:val="Normal"/>
        <w:spacing w:before="0" w:after="40"/>
        <w:ind w:hanging="173" w:start="173"/>
        <w:rPr/>
      </w:pPr>
      <w:r>
        <w:rPr>
          <w:b/>
          <w:color w:val="0078D4"/>
        </w:rPr>
        <w:t xml:space="preserve">1.  </w:t>
      </w:r>
      <w:r>
        <w:rPr/>
        <w:t>The Service Desk request identifies the business purpose, owner, content type, intended audience, data classification and support contact.</w:t>
      </w:r>
    </w:p>
    <w:p>
      <w:pPr>
        <w:pStyle w:val="Normal"/>
        <w:spacing w:before="0" w:after="40"/>
        <w:ind w:hanging="173" w:start="173"/>
        <w:rPr/>
      </w:pPr>
      <w:r>
        <w:rPr>
          <w:b/>
          <w:color w:val="0078D4"/>
        </w:rPr>
        <w:t xml:space="preserve">2.  </w:t>
      </w:r>
      <w:r>
        <w:rPr/>
        <w:t>Power BI Pro is selected by default. Fabric capacity is used only when documented eligibility criteria are satisfied and approval is recorded.</w:t>
      </w:r>
    </w:p>
    <w:p>
      <w:pPr>
        <w:pStyle w:val="Normal"/>
        <w:spacing w:before="0" w:after="40"/>
        <w:ind w:hanging="173" w:start="173"/>
        <w:rPr/>
      </w:pPr>
      <w:r>
        <w:rPr>
          <w:b/>
          <w:color w:val="0078D4"/>
        </w:rPr>
        <w:t xml:space="preserve">3.  </w:t>
      </w:r>
      <w:r>
        <w:rPr/>
        <w:t>The workspace name, description, contacts, domain or classification and administrative settings follow the agreed standards.</w:t>
      </w:r>
    </w:p>
    <w:p>
      <w:pPr>
        <w:pStyle w:val="Normal"/>
        <w:spacing w:before="0" w:after="40"/>
        <w:ind w:hanging="173" w:start="173"/>
        <w:rPr/>
      </w:pPr>
      <w:r>
        <w:rPr>
          <w:b/>
          <w:color w:val="0078D4"/>
        </w:rPr>
        <w:t xml:space="preserve">4.  </w:t>
      </w:r>
      <w:r>
        <w:rPr/>
        <w:t>Workspace roles are assigned through approved groups wherever practical rather than directly to individuals.</w:t>
      </w:r>
    </w:p>
    <w:p>
      <w:pPr>
        <w:pStyle w:val="Normal"/>
        <w:spacing w:before="0" w:after="40"/>
        <w:ind w:hanging="173" w:start="173"/>
        <w:rPr/>
      </w:pPr>
      <w:r>
        <w:rPr>
          <w:b/>
          <w:color w:val="0078D4"/>
        </w:rPr>
        <w:t xml:space="preserve">5.  </w:t>
      </w:r>
      <w:r>
        <w:rPr/>
        <w:t>Where a group is required for workspace app access, the appropriate Microsoft Entra security group is created or an approved existing group is reused, with a named owner and managed membership process.</w:t>
      </w:r>
    </w:p>
    <w:p>
      <w:pPr>
        <w:pStyle w:val="Normal"/>
        <w:spacing w:before="0" w:after="40"/>
        <w:ind w:hanging="173" w:start="173"/>
        <w:rPr/>
      </w:pPr>
      <w:r>
        <w:rPr>
          <w:b/>
          <w:color w:val="0078D4"/>
        </w:rPr>
        <w:t xml:space="preserve">6.  </w:t>
      </w:r>
      <w:r>
        <w:rPr/>
        <w:t>The requester receives the workspace details, access route, responsibilities and any operating conditions.</w:t>
      </w:r>
    </w:p>
    <w:p>
      <w:pPr>
        <w:pStyle w:val="Normal"/>
        <w:spacing w:before="0" w:after="40"/>
        <w:ind w:hanging="173" w:start="173"/>
        <w:rPr/>
      </w:pPr>
      <w:r>
        <w:rPr>
          <w:b/>
          <w:color w:val="0078D4"/>
        </w:rPr>
        <w:t xml:space="preserve">7.  </w:t>
      </w:r>
      <w:r>
        <w:rPr/>
        <w:t>The Service Desk record contains the approval, configuration and evidence needed for audit and future support.</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&amp; Fabric Service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the provisioning standard and approves exceptions, including Fabric capacity use.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Creates and configures the workspace and, where authorised, coordinates group-based access.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Validates the request, maintains the ticket and communicates progress and completion.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Requesting Business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Supplies the business case, ownership, audience and data classification information.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Capacity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Validates capacity suitability where Fabric capacity is requested.</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Microsoft Entra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Creates or governs security groups where this is outside the Power BI team remit.</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 / Compliance</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where the request involves elevated risk or exceptional access.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Workspace Users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 access and operating guidance after approval and provisioning.</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US-03  |  SERVICE USER STORY</w:t>
      </w:r>
    </w:p>
    <w:p>
      <w:pPr>
        <w:pStyle w:val="Heading1"/>
        <w:rPr/>
      </w:pPr>
      <w:r>
        <w:rPr/>
        <w:t>Refresh Failure to Resolution</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a report consumer or business owner, I want failed Power BI refreshes to be detected, triaged and resolved through a controlled support path, so that service is restored quickly and the business impact is understood and communicated.</w:t>
            </w:r>
          </w:p>
        </w:tc>
      </w:tr>
    </w:tbl>
    <w:p>
      <w:pPr>
        <w:pStyle w:val="Normal"/>
        <w:spacing w:before="0" w:after="100"/>
        <w:rPr/>
      </w:pPr>
      <w:r>
        <w:rPr>
          <w:b/>
          <w:color w:val="008272"/>
        </w:rPr>
        <w:t xml:space="preserve">Trigger  </w:t>
      </w:r>
      <w:r>
        <w:rPr/>
        <w:t>A scheduled or on-demand refresh fails, exceeds an agreed threshold, or repeatedly completes with warnings or degraded data quality.</w:t>
      </w:r>
    </w:p>
    <w:p>
      <w:pPr>
        <w:pStyle w:val="Normal"/>
        <w:spacing w:before="0" w:after="100"/>
        <w:rPr/>
      </w:pPr>
      <w:r>
        <w:rPr>
          <w:b/>
          <w:color w:val="008272"/>
        </w:rPr>
        <w:t xml:space="preserve">Outcome  </w:t>
      </w:r>
      <w:r>
        <w:rPr/>
        <w:t>The affected content is restored or an agreed workaround is in place, with cause, action and evidence recorded.</w:t>
      </w:r>
    </w:p>
    <w:p>
      <w:pPr>
        <w:pStyle w:val="Heading2"/>
        <w:rPr/>
      </w:pPr>
      <w:r>
        <w:rPr/>
        <w:t>Acceptance criteria</w:t>
      </w:r>
    </w:p>
    <w:p>
      <w:pPr>
        <w:pStyle w:val="Normal"/>
        <w:spacing w:before="0" w:after="40"/>
        <w:ind w:hanging="173" w:start="173"/>
        <w:rPr/>
      </w:pPr>
      <w:r>
        <w:rPr>
          <w:b/>
          <w:color w:val="0078D4"/>
        </w:rPr>
        <w:t xml:space="preserve">1.  </w:t>
      </w:r>
      <w:r>
        <w:rPr/>
        <w:t>The failure is logged with workspace, semantic model or dataflow, time, error detail, owner and business criticality.</w:t>
      </w:r>
    </w:p>
    <w:p>
      <w:pPr>
        <w:pStyle w:val="Normal"/>
        <w:spacing w:before="0" w:after="40"/>
        <w:ind w:hanging="173" w:start="173"/>
        <w:rPr/>
      </w:pPr>
      <w:r>
        <w:rPr>
          <w:b/>
          <w:color w:val="0078D4"/>
        </w:rPr>
        <w:t xml:space="preserve">2.  </w:t>
      </w:r>
      <w:r>
        <w:rPr/>
        <w:t>Initial triage distinguishes credential, gateway, source, capacity, transformation, permission and transient service issues.</w:t>
      </w:r>
    </w:p>
    <w:p>
      <w:pPr>
        <w:pStyle w:val="Normal"/>
        <w:spacing w:before="0" w:after="40"/>
        <w:ind w:hanging="173" w:start="173"/>
        <w:rPr/>
      </w:pPr>
      <w:r>
        <w:rPr>
          <w:b/>
          <w:color w:val="0078D4"/>
        </w:rPr>
        <w:t xml:space="preserve">3.  </w:t>
      </w:r>
      <w:r>
        <w:rPr/>
        <w:t>The incident is routed to the correct resolver and prioritised according to business impact and urgency.</w:t>
      </w:r>
    </w:p>
    <w:p>
      <w:pPr>
        <w:pStyle w:val="Normal"/>
        <w:spacing w:before="0" w:after="40"/>
        <w:ind w:hanging="173" w:start="173"/>
        <w:rPr/>
      </w:pPr>
      <w:r>
        <w:rPr>
          <w:b/>
          <w:color w:val="0078D4"/>
        </w:rPr>
        <w:t xml:space="preserve">4.  </w:t>
      </w:r>
      <w:r>
        <w:rPr/>
        <w:t>Relevant owners and consumers receive clear status communications for material incidents.</w:t>
      </w:r>
    </w:p>
    <w:p>
      <w:pPr>
        <w:pStyle w:val="Normal"/>
        <w:spacing w:before="0" w:after="40"/>
        <w:ind w:hanging="173" w:start="173"/>
        <w:rPr/>
      </w:pPr>
      <w:r>
        <w:rPr>
          <w:b/>
          <w:color w:val="0078D4"/>
        </w:rPr>
        <w:t xml:space="preserve">5.  </w:t>
      </w:r>
      <w:r>
        <w:rPr/>
        <w:t>Successful recovery is verified by refresh history and an appropriate content or data check.</w:t>
      </w:r>
    </w:p>
    <w:p>
      <w:pPr>
        <w:pStyle w:val="Normal"/>
        <w:spacing w:before="0" w:after="40"/>
        <w:ind w:hanging="173" w:start="173"/>
        <w:rPr/>
      </w:pPr>
      <w:r>
        <w:rPr>
          <w:b/>
          <w:color w:val="0078D4"/>
        </w:rPr>
        <w:t xml:space="preserve">6.  </w:t>
      </w:r>
      <w:r>
        <w:rPr/>
        <w:t>Recurring or high-impact failures generate a problem record, corrective action or improvement recommendation.</w:t>
      </w:r>
    </w:p>
    <w:p>
      <w:pPr>
        <w:pStyle w:val="Normal"/>
        <w:spacing w:before="0" w:after="40"/>
        <w:ind w:hanging="173" w:start="173"/>
        <w:rPr/>
      </w:pPr>
      <w:r>
        <w:rPr>
          <w:b/>
          <w:color w:val="0078D4"/>
        </w:rPr>
        <w:t xml:space="preserve">7.  </w:t>
      </w:r>
      <w:r>
        <w:rPr/>
        <w:t>The ticket records the cause, resolution, verification and any follow-up action before closure.</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Business Content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business impact decisions, priorities and acceptance of restored service.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Support Team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Triages the failure, coordinates resolution, validates recovery and updates the ticket.</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Logs, categorises, prioritises and routes the incident and maintains communications.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Data Source / Application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Investigates source availability, schema, credentials or upstream processing where relevant.</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Gateway / Infrastructure Team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Investigates gateway, network, server or operating system causes where relevant.</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Capacity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Investigates throttling, overload or capacity-related failures where relevant.</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Affected Users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 proportionate service status and restoration communication.</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US-04  |  SERVICE USER STORY</w:t>
      </w:r>
    </w:p>
    <w:p>
      <w:pPr>
        <w:pStyle w:val="Heading1"/>
        <w:rPr/>
      </w:pPr>
      <w:r>
        <w:rPr/>
        <w:t>Enterprise Gateway Maintenance</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the Enterprise Gateway Owner, I want the on-premises data gateway estate to be maintained as a supported, resilient and controlled service, so that Power BI connectivity remains secure and reliable.</w:t>
            </w:r>
          </w:p>
        </w:tc>
      </w:tr>
    </w:tbl>
    <w:p>
      <w:pPr>
        <w:pStyle w:val="Normal"/>
        <w:spacing w:before="0" w:after="100"/>
        <w:rPr/>
      </w:pPr>
      <w:r>
        <w:rPr>
          <w:b/>
          <w:color w:val="008272"/>
        </w:rPr>
        <w:t xml:space="preserve">Trigger  </w:t>
      </w:r>
      <w:r>
        <w:rPr/>
        <w:t>A scheduled maintenance cycle, security requirement, version review, configuration change, certificate or credential event, or gateway incident.</w:t>
      </w:r>
    </w:p>
    <w:p>
      <w:pPr>
        <w:pStyle w:val="Normal"/>
        <w:spacing w:before="0" w:after="100"/>
        <w:rPr/>
      </w:pPr>
      <w:r>
        <w:rPr>
          <w:b/>
          <w:color w:val="008272"/>
        </w:rPr>
        <w:t xml:space="preserve">Outcome  </w:t>
      </w:r>
      <w:r>
        <w:rPr/>
        <w:t>Gateway clusters remain supported, healthy, recoverable and appropriately governed.</w:t>
      </w:r>
    </w:p>
    <w:p>
      <w:pPr>
        <w:pStyle w:val="Heading2"/>
        <w:rPr/>
      </w:pPr>
      <w:r>
        <w:rPr/>
        <w:t>Acceptance criteria</w:t>
      </w:r>
    </w:p>
    <w:p>
      <w:pPr>
        <w:pStyle w:val="Normal"/>
        <w:spacing w:before="0" w:after="40"/>
        <w:ind w:hanging="173" w:start="173"/>
        <w:rPr/>
      </w:pPr>
      <w:r>
        <w:rPr>
          <w:b/>
          <w:color w:val="0078D4"/>
        </w:rPr>
        <w:t xml:space="preserve">1.  </w:t>
      </w:r>
      <w:r>
        <w:rPr/>
        <w:t>Gateway inventory, ownership, cluster membership, versions and hosted data sources are current.</w:t>
      </w:r>
    </w:p>
    <w:p>
      <w:pPr>
        <w:pStyle w:val="Normal"/>
        <w:spacing w:before="0" w:after="40"/>
        <w:ind w:hanging="173" w:start="173"/>
        <w:rPr/>
      </w:pPr>
      <w:r>
        <w:rPr>
          <w:b/>
          <w:color w:val="0078D4"/>
        </w:rPr>
        <w:t xml:space="preserve">2.  </w:t>
      </w:r>
      <w:r>
        <w:rPr/>
        <w:t>Updates are assessed, planned, tested and deployed through the agreed change process.</w:t>
      </w:r>
    </w:p>
    <w:p>
      <w:pPr>
        <w:pStyle w:val="Normal"/>
        <w:spacing w:before="0" w:after="40"/>
        <w:ind w:hanging="173" w:start="173"/>
        <w:rPr/>
      </w:pPr>
      <w:r>
        <w:rPr>
          <w:b/>
          <w:color w:val="0078D4"/>
        </w:rPr>
        <w:t xml:space="preserve">3.  </w:t>
      </w:r>
      <w:r>
        <w:rPr/>
        <w:t>High availability, service accounts, recovery information and configuration backups are reviewed at the agreed frequency.</w:t>
      </w:r>
    </w:p>
    <w:p>
      <w:pPr>
        <w:pStyle w:val="Normal"/>
        <w:spacing w:before="0" w:after="40"/>
        <w:ind w:hanging="173" w:start="173"/>
        <w:rPr/>
      </w:pPr>
      <w:r>
        <w:rPr>
          <w:b/>
          <w:color w:val="0078D4"/>
        </w:rPr>
        <w:t xml:space="preserve">4.  </w:t>
      </w:r>
      <w:r>
        <w:rPr/>
        <w:t>Data source mappings, credentials and administrator assignments are reviewed and unnecessary access is removed.</w:t>
      </w:r>
    </w:p>
    <w:p>
      <w:pPr>
        <w:pStyle w:val="Normal"/>
        <w:spacing w:before="0" w:after="40"/>
        <w:ind w:hanging="173" w:start="173"/>
        <w:rPr/>
      </w:pPr>
      <w:r>
        <w:rPr>
          <w:b/>
          <w:color w:val="0078D4"/>
        </w:rPr>
        <w:t xml:space="preserve">5.  </w:t>
      </w:r>
      <w:r>
        <w:rPr/>
        <w:t>Gateway health, connectivity and resource use are checked after maintenance.</w:t>
      </w:r>
    </w:p>
    <w:p>
      <w:pPr>
        <w:pStyle w:val="Normal"/>
        <w:spacing w:before="0" w:after="40"/>
        <w:ind w:hanging="173" w:start="173"/>
        <w:rPr/>
      </w:pPr>
      <w:r>
        <w:rPr>
          <w:b/>
          <w:color w:val="0078D4"/>
        </w:rPr>
        <w:t xml:space="preserve">6.  </w:t>
      </w:r>
      <w:r>
        <w:rPr/>
        <w:t>Material changes and outages are communicated to affected content owners.</w:t>
      </w:r>
    </w:p>
    <w:p>
      <w:pPr>
        <w:pStyle w:val="Normal"/>
        <w:spacing w:before="0" w:after="40"/>
        <w:ind w:hanging="173" w:start="173"/>
        <w:rPr/>
      </w:pPr>
      <w:r>
        <w:rPr>
          <w:b/>
          <w:color w:val="0078D4"/>
        </w:rPr>
        <w:t xml:space="preserve">7.  </w:t>
      </w:r>
      <w:r>
        <w:rPr/>
        <w:t>Maintenance evidence, exceptions and follow-up actions are recorded.</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Gateway Service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the gateway service, maintenance policy and risk acceptance.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Gateway / Infrastructure Team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Maintains hosts, software, clustering, connectivity, recovery and operational evidence.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Maintains Power BI-side gateway configuration, data source mappings and authorised administrators.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on privileged access, service accounts, patching and security risk.</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Data Source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Validate connectivity, credentials and change impacts for their sources.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Receives outage, workaround and support information.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Content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Are informed of planned or unplanned impact to refresh and connectivity.</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US-05  |  SERVICE USER STORY</w:t>
      </w:r>
    </w:p>
    <w:p>
      <w:pPr>
        <w:pStyle w:val="Heading1"/>
        <w:rPr/>
      </w:pPr>
      <w:r>
        <w:rPr/>
        <w:t>Fabric Capacity Monitoring</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the Fabric Capacity Administrator, I want capacity utilisation and workload behaviour to be monitored, so that performance, reliability and cost risks are identified before they materially affect users.</w:t>
            </w:r>
          </w:p>
        </w:tc>
      </w:tr>
    </w:tbl>
    <w:p>
      <w:pPr>
        <w:pStyle w:val="Normal"/>
        <w:spacing w:before="0" w:after="100"/>
        <w:rPr/>
      </w:pPr>
      <w:r>
        <w:rPr>
          <w:b/>
          <w:color w:val="008272"/>
        </w:rPr>
        <w:t xml:space="preserve">Trigger  </w:t>
      </w:r>
      <w:r>
        <w:rPr/>
        <w:t>Continuous or scheduled monitoring, a threshold breach, user-reported degradation, a workload onboarding request, or a periodic service review.</w:t>
      </w:r>
    </w:p>
    <w:p>
      <w:pPr>
        <w:pStyle w:val="Normal"/>
        <w:spacing w:before="0" w:after="100"/>
        <w:rPr/>
      </w:pPr>
      <w:r>
        <w:rPr>
          <w:b/>
          <w:color w:val="008272"/>
        </w:rPr>
        <w:t xml:space="preserve">Outcome  </w:t>
      </w:r>
      <w:r>
        <w:rPr/>
        <w:t>Capacity health is understood, exceptions are acted upon and scaling or workload decisions are supported by evidence.</w:t>
      </w:r>
    </w:p>
    <w:p>
      <w:pPr>
        <w:pStyle w:val="Heading2"/>
        <w:rPr/>
      </w:pPr>
      <w:r>
        <w:rPr/>
        <w:t>Acceptance criteria</w:t>
      </w:r>
    </w:p>
    <w:p>
      <w:pPr>
        <w:pStyle w:val="Normal"/>
        <w:spacing w:before="0" w:after="40"/>
        <w:ind w:hanging="173" w:start="173"/>
        <w:rPr/>
      </w:pPr>
      <w:r>
        <w:rPr>
          <w:b/>
          <w:color w:val="0078D4"/>
        </w:rPr>
        <w:t xml:space="preserve">1.  </w:t>
      </w:r>
      <w:r>
        <w:rPr/>
        <w:t>Relevant capacity metrics and trends are reviewed at an agreed frequency.</w:t>
      </w:r>
    </w:p>
    <w:p>
      <w:pPr>
        <w:pStyle w:val="Normal"/>
        <w:spacing w:before="0" w:after="40"/>
        <w:ind w:hanging="173" w:start="173"/>
        <w:rPr/>
      </w:pPr>
      <w:r>
        <w:rPr>
          <w:b/>
          <w:color w:val="0078D4"/>
        </w:rPr>
        <w:t xml:space="preserve">2.  </w:t>
      </w:r>
      <w:r>
        <w:rPr/>
        <w:t>Sustained overload, throttling, anomalous workload behaviour and material growth are identified and recorded.</w:t>
      </w:r>
    </w:p>
    <w:p>
      <w:pPr>
        <w:pStyle w:val="Normal"/>
        <w:spacing w:before="0" w:after="40"/>
        <w:ind w:hanging="173" w:start="173"/>
        <w:rPr/>
      </w:pPr>
      <w:r>
        <w:rPr>
          <w:b/>
          <w:color w:val="0078D4"/>
        </w:rPr>
        <w:t xml:space="preserve">3.  </w:t>
      </w:r>
      <w:r>
        <w:rPr/>
        <w:t>Issues are correlated with workspaces, items, refreshes or workloads where enough evidence is available.</w:t>
      </w:r>
    </w:p>
    <w:p>
      <w:pPr>
        <w:pStyle w:val="Normal"/>
        <w:spacing w:before="0" w:after="40"/>
        <w:ind w:hanging="173" w:start="173"/>
        <w:rPr/>
      </w:pPr>
      <w:r>
        <w:rPr>
          <w:b/>
          <w:color w:val="0078D4"/>
        </w:rPr>
        <w:t xml:space="preserve">4.  </w:t>
      </w:r>
      <w:r>
        <w:rPr/>
        <w:t>Operational mitigations are assigned to an owner and tracked to completion.</w:t>
      </w:r>
    </w:p>
    <w:p>
      <w:pPr>
        <w:pStyle w:val="Normal"/>
        <w:spacing w:before="0" w:after="40"/>
        <w:ind w:hanging="173" w:start="173"/>
        <w:rPr/>
      </w:pPr>
      <w:r>
        <w:rPr>
          <w:b/>
          <w:color w:val="0078D4"/>
        </w:rPr>
        <w:t xml:space="preserve">5.  </w:t>
      </w:r>
      <w:r>
        <w:rPr/>
        <w:t>Scale, pause, resume, reassignment or optimisation decisions follow the agreed approval and change process.</w:t>
      </w:r>
    </w:p>
    <w:p>
      <w:pPr>
        <w:pStyle w:val="Normal"/>
        <w:spacing w:before="0" w:after="40"/>
        <w:ind w:hanging="173" w:start="173"/>
        <w:rPr/>
      </w:pPr>
      <w:r>
        <w:rPr>
          <w:b/>
          <w:color w:val="0078D4"/>
        </w:rPr>
        <w:t xml:space="preserve">6.  </w:t>
      </w:r>
      <w:r>
        <w:rPr/>
        <w:t>Material user impacts and capacity constraints are communicated to affected owners.</w:t>
      </w:r>
    </w:p>
    <w:p>
      <w:pPr>
        <w:pStyle w:val="Normal"/>
        <w:spacing w:before="0" w:after="40"/>
        <w:ind w:hanging="173" w:start="173"/>
        <w:rPr/>
      </w:pPr>
      <w:r>
        <w:rPr>
          <w:b/>
          <w:color w:val="0078D4"/>
        </w:rPr>
        <w:t xml:space="preserve">7.  </w:t>
      </w:r>
      <w:r>
        <w:rPr/>
        <w:t>Review outcomes contribute to forecasting, cost management and future capacity criteria.</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Capacity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service level, cost envelope and significant capacity decisions.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Capacity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Monitors health, investigates exceptions and performs approved capacity actions.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 Fabric Support Team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Works with content owners to diagnose and reduce avoidable workload pressure.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Workspace / Content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Provide business priority and optimise items attributable to their workloads.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Finance / Commercial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on budget, commitment and cost implications where scaling is proposed.</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Receives known issue and support guidance.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Affected Users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 proportionate communications about material performance impact.</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US-06  |  SERVICE USER STORY</w:t>
      </w:r>
    </w:p>
    <w:p>
      <w:pPr>
        <w:pStyle w:val="Heading1"/>
        <w:rPr/>
      </w:pPr>
      <w:r>
        <w:rPr/>
        <w:t>Review Workspace Permissions</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a Workspace Owner, I want workspace access and role assignments to be reviewed regularly, so that users retain only the access required for their responsibilities and content is protected from inappropriate change or disclosure.</w:t>
            </w:r>
          </w:p>
        </w:tc>
      </w:tr>
    </w:tbl>
    <w:p>
      <w:pPr>
        <w:pStyle w:val="Normal"/>
        <w:spacing w:before="0" w:after="100"/>
        <w:rPr/>
      </w:pPr>
      <w:r>
        <w:rPr>
          <w:b/>
          <w:color w:val="008272"/>
        </w:rPr>
        <w:t xml:space="preserve">Trigger  </w:t>
      </w:r>
      <w:r>
        <w:rPr/>
        <w:t>Scheduled access review, ownership change, team restructure, leaver or mover event, audit request, or suspected access issue.</w:t>
      </w:r>
    </w:p>
    <w:p>
      <w:pPr>
        <w:pStyle w:val="Normal"/>
        <w:spacing w:before="0" w:after="100"/>
        <w:rPr/>
      </w:pPr>
      <w:r>
        <w:rPr>
          <w:b/>
          <w:color w:val="008272"/>
        </w:rPr>
        <w:t xml:space="preserve">Outcome  </w:t>
      </w:r>
      <w:r>
        <w:rPr/>
        <w:t>Workspace and related app access are current, justified, group-based where practical and evidenced.</w:t>
      </w:r>
    </w:p>
    <w:p>
      <w:pPr>
        <w:pStyle w:val="Heading2"/>
        <w:rPr/>
      </w:pPr>
      <w:r>
        <w:rPr/>
        <w:t>Acceptance criteria</w:t>
      </w:r>
    </w:p>
    <w:p>
      <w:pPr>
        <w:pStyle w:val="Normal"/>
        <w:spacing w:before="0" w:after="40"/>
        <w:ind w:hanging="173" w:start="173"/>
        <w:rPr/>
      </w:pPr>
      <w:r>
        <w:rPr>
          <w:b/>
          <w:color w:val="0078D4"/>
        </w:rPr>
        <w:t xml:space="preserve">1.  </w:t>
      </w:r>
      <w:r>
        <w:rPr/>
        <w:t>Workspace Admin, Member, Contributor and Viewer assignments are extracted and reviewed.</w:t>
      </w:r>
    </w:p>
    <w:p>
      <w:pPr>
        <w:pStyle w:val="Normal"/>
        <w:spacing w:before="0" w:after="40"/>
        <w:ind w:hanging="173" w:start="173"/>
        <w:rPr/>
      </w:pPr>
      <w:r>
        <w:rPr>
          <w:b/>
          <w:color w:val="0078D4"/>
        </w:rPr>
        <w:t xml:space="preserve">2.  </w:t>
      </w:r>
      <w:r>
        <w:rPr/>
        <w:t>Assignments are validated against named responsibilities and least-privilege expectations.</w:t>
      </w:r>
    </w:p>
    <w:p>
      <w:pPr>
        <w:pStyle w:val="Normal"/>
        <w:spacing w:before="0" w:after="40"/>
        <w:ind w:hanging="173" w:start="173"/>
        <w:rPr/>
      </w:pPr>
      <w:r>
        <w:rPr>
          <w:b/>
          <w:color w:val="0078D4"/>
        </w:rPr>
        <w:t xml:space="preserve">3.  </w:t>
      </w:r>
      <w:r>
        <w:rPr/>
        <w:t>Direct user assignments are replaced with approved group-based access where practical.</w:t>
      </w:r>
    </w:p>
    <w:p>
      <w:pPr>
        <w:pStyle w:val="Normal"/>
        <w:spacing w:before="0" w:after="40"/>
        <w:ind w:hanging="173" w:start="173"/>
        <w:rPr/>
      </w:pPr>
      <w:r>
        <w:rPr>
          <w:b/>
          <w:color w:val="0078D4"/>
        </w:rPr>
        <w:t xml:space="preserve">4.  </w:t>
      </w:r>
      <w:r>
        <w:rPr/>
        <w:t>Orphaned owners, inactive accounts, guests and elevated roles receive explicit attention.</w:t>
      </w:r>
    </w:p>
    <w:p>
      <w:pPr>
        <w:pStyle w:val="Normal"/>
        <w:spacing w:before="0" w:after="40"/>
        <w:ind w:hanging="173" w:start="173"/>
        <w:rPr/>
      </w:pPr>
      <w:r>
        <w:rPr>
          <w:b/>
          <w:color w:val="0078D4"/>
        </w:rPr>
        <w:t xml:space="preserve">5.  </w:t>
      </w:r>
      <w:r>
        <w:rPr/>
        <w:t>Related app audiences and security groups are included where they affect effective access.</w:t>
      </w:r>
    </w:p>
    <w:p>
      <w:pPr>
        <w:pStyle w:val="Normal"/>
        <w:spacing w:before="0" w:after="40"/>
        <w:ind w:hanging="173" w:start="173"/>
        <w:rPr/>
      </w:pPr>
      <w:r>
        <w:rPr>
          <w:b/>
          <w:color w:val="0078D4"/>
        </w:rPr>
        <w:t xml:space="preserve">6.  </w:t>
      </w:r>
      <w:r>
        <w:rPr/>
        <w:t>Approved removals or changes are implemented and independently checked.</w:t>
      </w:r>
    </w:p>
    <w:p>
      <w:pPr>
        <w:pStyle w:val="Normal"/>
        <w:spacing w:before="0" w:after="40"/>
        <w:ind w:hanging="173" w:start="173"/>
        <w:rPr/>
      </w:pPr>
      <w:r>
        <w:rPr>
          <w:b/>
          <w:color w:val="0078D4"/>
        </w:rPr>
        <w:t xml:space="preserve">7.  </w:t>
      </w:r>
      <w:r>
        <w:rPr/>
        <w:t>The reviewer, approver, decisions, exceptions and completion evidence are retained.</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Workspace Business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Confirms who requires access and accepts any documented business exception.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Administrator / Workspace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Produces the access evidence and implements approved changes.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Line Managers / Group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Validate current membership and continuing business need.</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 / Compliance</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on privileged, guest, sensitive or exceptional access.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Receives access-change and support information where requests are ticketed.</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Workspace Users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Are informed where access changes materially affect their work.</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US-07  |  SERVICE USER STORY</w:t>
      </w:r>
    </w:p>
    <w:p>
      <w:pPr>
        <w:pStyle w:val="Heading1"/>
        <w:rPr/>
      </w:pPr>
      <w:r>
        <w:rPr/>
        <w:t>Workspace App Publication</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a Power BI Content Owner, I want a workspace app to be published or updated through a controlled release, so that consumers receive an approved, tested and appropriately secured version of the content. Organisational apps are not currently in scope.</w:t>
            </w:r>
          </w:p>
        </w:tc>
      </w:tr>
    </w:tbl>
    <w:p>
      <w:pPr>
        <w:pStyle w:val="Normal"/>
        <w:spacing w:before="0" w:after="100"/>
        <w:rPr/>
      </w:pPr>
      <w:r>
        <w:rPr>
          <w:b/>
          <w:color w:val="008272"/>
        </w:rPr>
        <w:t xml:space="preserve">Trigger  </w:t>
      </w:r>
      <w:r>
        <w:rPr/>
        <w:t>A new workspace app is requested, or an existing workspace app requires a release, audience change or withdrawal.</w:t>
      </w:r>
    </w:p>
    <w:p>
      <w:pPr>
        <w:pStyle w:val="Normal"/>
        <w:spacing w:before="0" w:after="100"/>
        <w:rPr/>
      </w:pPr>
      <w:r>
        <w:rPr>
          <w:b/>
          <w:color w:val="008272"/>
        </w:rPr>
        <w:t xml:space="preserve">Outcome  </w:t>
      </w:r>
      <w:r>
        <w:rPr/>
        <w:t>An approved workspace app is available to the intended audience with verified navigation, content and access.</w:t>
      </w:r>
    </w:p>
    <w:p>
      <w:pPr>
        <w:pStyle w:val="Heading2"/>
        <w:rPr/>
      </w:pPr>
      <w:r>
        <w:rPr/>
        <w:t>Acceptance criteria</w:t>
      </w:r>
    </w:p>
    <w:p>
      <w:pPr>
        <w:pStyle w:val="Normal"/>
        <w:spacing w:before="0" w:after="40"/>
        <w:ind w:hanging="173" w:start="173"/>
        <w:rPr/>
      </w:pPr>
      <w:r>
        <w:rPr>
          <w:b/>
          <w:color w:val="0078D4"/>
        </w:rPr>
        <w:t xml:space="preserve">1.  </w:t>
      </w:r>
      <w:r>
        <w:rPr/>
        <w:t>The release identifies the workspace, app owner, intended audience, release content and business purpose.</w:t>
      </w:r>
    </w:p>
    <w:p>
      <w:pPr>
        <w:pStyle w:val="Normal"/>
        <w:spacing w:before="0" w:after="40"/>
        <w:ind w:hanging="173" w:start="173"/>
        <w:rPr/>
      </w:pPr>
      <w:r>
        <w:rPr>
          <w:b/>
          <w:color w:val="0078D4"/>
        </w:rPr>
        <w:t xml:space="preserve">2.  </w:t>
      </w:r>
      <w:r>
        <w:rPr/>
        <w:t>The content owner confirms that reports, semantic models and supporting descriptions are ready for publication.</w:t>
      </w:r>
    </w:p>
    <w:p>
      <w:pPr>
        <w:pStyle w:val="Normal"/>
        <w:spacing w:before="0" w:after="40"/>
        <w:ind w:hanging="173" w:start="173"/>
        <w:rPr/>
      </w:pPr>
      <w:r>
        <w:rPr>
          <w:b/>
          <w:color w:val="0078D4"/>
        </w:rPr>
        <w:t xml:space="preserve">3.  </w:t>
      </w:r>
      <w:r>
        <w:rPr/>
        <w:t>App audiences and permissions are defined separately from workspace authoring access.</w:t>
      </w:r>
    </w:p>
    <w:p>
      <w:pPr>
        <w:pStyle w:val="Normal"/>
        <w:spacing w:before="0" w:after="40"/>
        <w:ind w:hanging="173" w:start="173"/>
        <w:rPr/>
      </w:pPr>
      <w:r>
        <w:rPr>
          <w:b/>
          <w:color w:val="0078D4"/>
        </w:rPr>
        <w:t xml:space="preserve">4.  </w:t>
      </w:r>
      <w:r>
        <w:rPr/>
        <w:t>Access is provided through approved Microsoft Entra security groups where this is the agreed access pattern.</w:t>
      </w:r>
    </w:p>
    <w:p>
      <w:pPr>
        <w:pStyle w:val="Normal"/>
        <w:spacing w:before="0" w:after="40"/>
        <w:ind w:hanging="173" w:start="173"/>
        <w:rPr/>
      </w:pPr>
      <w:r>
        <w:rPr>
          <w:b/>
          <w:color w:val="0078D4"/>
        </w:rPr>
        <w:t xml:space="preserve">5.  </w:t>
      </w:r>
      <w:r>
        <w:rPr/>
        <w:t>Navigation, links, audience visibility, report behaviour and critical interactions are tested before release.</w:t>
      </w:r>
    </w:p>
    <w:p>
      <w:pPr>
        <w:pStyle w:val="Normal"/>
        <w:spacing w:before="0" w:after="40"/>
        <w:ind w:hanging="173" w:start="173"/>
        <w:rPr/>
      </w:pPr>
      <w:r>
        <w:rPr>
          <w:b/>
          <w:color w:val="0078D4"/>
        </w:rPr>
        <w:t xml:space="preserve">6.  </w:t>
      </w:r>
      <w:r>
        <w:rPr/>
        <w:t>The release is approved, published and verified using an appropriate consumer account or test route.</w:t>
      </w:r>
    </w:p>
    <w:p>
      <w:pPr>
        <w:pStyle w:val="Normal"/>
        <w:spacing w:before="0" w:after="40"/>
        <w:ind w:hanging="173" w:start="173"/>
        <w:rPr/>
      </w:pPr>
      <w:r>
        <w:rPr>
          <w:b/>
          <w:color w:val="0078D4"/>
        </w:rPr>
        <w:t xml:space="preserve">7.  </w:t>
      </w:r>
      <w:r>
        <w:rPr/>
        <w:t>Release notes, support ownership, evidence and rollback or withdrawal considerations are recorded.</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Business Content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Approves the content, audience and timing of the release.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Publisher / Workspace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Configures, publishes and verifies the workspace app.</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Report / Semantic Model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Prepare, test and correct the content included in the release.</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 / Data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where audience or content sensitivity requires additional control.</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Receives support, release and known issue information.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App Consumers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 concise release and access communication where appropriate.</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US-08  |  SERVICE USER STORY</w:t>
      </w:r>
    </w:p>
    <w:p>
      <w:pPr>
        <w:pStyle w:val="Heading1"/>
        <w:rPr/>
      </w:pPr>
      <w:r>
        <w:rPr/>
        <w:t>Usage Monitoring</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the Power BI &amp; Fabric Service Owner, I want platform and content usage to be monitored, so that adoption, support, optimisation and retirement decisions are based on evidence rather than assumption.</w:t>
            </w:r>
          </w:p>
        </w:tc>
      </w:tr>
    </w:tbl>
    <w:p>
      <w:pPr>
        <w:pStyle w:val="Normal"/>
        <w:spacing w:before="0" w:after="100"/>
        <w:rPr/>
      </w:pPr>
      <w:r>
        <w:rPr>
          <w:b/>
          <w:color w:val="008272"/>
        </w:rPr>
        <w:t xml:space="preserve">Trigger  </w:t>
      </w:r>
      <w:r>
        <w:rPr/>
        <w:t>Scheduled operational or governance review, adoption initiative, cost review, support investigation, content rationalisation, or audit request.</w:t>
      </w:r>
    </w:p>
    <w:p>
      <w:pPr>
        <w:pStyle w:val="Normal"/>
        <w:spacing w:before="0" w:after="100"/>
        <w:rPr/>
      </w:pPr>
      <w:r>
        <w:rPr>
          <w:b/>
          <w:color w:val="008272"/>
        </w:rPr>
        <w:t xml:space="preserve">Outcome  </w:t>
      </w:r>
      <w:r>
        <w:rPr/>
        <w:t>Usage evidence is translated into proportionate actions while respecting privacy, security and agreed monitoring boundaries.</w:t>
      </w:r>
    </w:p>
    <w:p>
      <w:pPr>
        <w:pStyle w:val="Heading2"/>
        <w:rPr/>
      </w:pPr>
      <w:r>
        <w:rPr/>
        <w:t>Acceptance criteria</w:t>
      </w:r>
    </w:p>
    <w:p>
      <w:pPr>
        <w:pStyle w:val="Normal"/>
        <w:spacing w:before="0" w:after="40"/>
        <w:ind w:hanging="173" w:start="173"/>
        <w:rPr/>
      </w:pPr>
      <w:r>
        <w:rPr>
          <w:b/>
          <w:color w:val="0078D4"/>
        </w:rPr>
        <w:t xml:space="preserve">1.  </w:t>
      </w:r>
      <w:r>
        <w:rPr/>
        <w:t>The monitoring purpose, audience, data source, retention and permitted use are documented.</w:t>
      </w:r>
    </w:p>
    <w:p>
      <w:pPr>
        <w:pStyle w:val="Normal"/>
        <w:spacing w:before="0" w:after="40"/>
        <w:ind w:hanging="173" w:start="173"/>
        <w:rPr/>
      </w:pPr>
      <w:r>
        <w:rPr>
          <w:b/>
          <w:color w:val="0078D4"/>
        </w:rPr>
        <w:t xml:space="preserve">2.  </w:t>
      </w:r>
      <w:r>
        <w:rPr/>
        <w:t>Tenant-level and content-level activity is collected only through approved methods and access is restricted.</w:t>
      </w:r>
    </w:p>
    <w:p>
      <w:pPr>
        <w:pStyle w:val="Normal"/>
        <w:spacing w:before="0" w:after="40"/>
        <w:ind w:hanging="173" w:start="173"/>
        <w:rPr/>
      </w:pPr>
      <w:r>
        <w:rPr>
          <w:b/>
          <w:color w:val="0078D4"/>
        </w:rPr>
        <w:t xml:space="preserve">3.  </w:t>
      </w:r>
      <w:r>
        <w:rPr/>
        <w:t>Active, declining, unused, duplicated or unusually accessed content is identified using agreed definitions.</w:t>
      </w:r>
    </w:p>
    <w:p>
      <w:pPr>
        <w:pStyle w:val="Normal"/>
        <w:spacing w:before="0" w:after="40"/>
        <w:ind w:hanging="173" w:start="173"/>
        <w:rPr/>
      </w:pPr>
      <w:r>
        <w:rPr>
          <w:b/>
          <w:color w:val="0078D4"/>
        </w:rPr>
        <w:t xml:space="preserve">4.  </w:t>
      </w:r>
      <w:r>
        <w:rPr/>
        <w:t>Usage is interpreted with business context and is not treated as a standalone measure of content value.</w:t>
      </w:r>
    </w:p>
    <w:p>
      <w:pPr>
        <w:pStyle w:val="Normal"/>
        <w:spacing w:before="0" w:after="40"/>
        <w:ind w:hanging="173" w:start="173"/>
        <w:rPr/>
      </w:pPr>
      <w:r>
        <w:rPr>
          <w:b/>
          <w:color w:val="0078D4"/>
        </w:rPr>
        <w:t xml:space="preserve">5.  </w:t>
      </w:r>
      <w:r>
        <w:rPr/>
        <w:t>Actions such as owner engagement, training, optimisation, consolidation or retirement are assigned and tracked.</w:t>
      </w:r>
    </w:p>
    <w:p>
      <w:pPr>
        <w:pStyle w:val="Normal"/>
        <w:spacing w:before="0" w:after="40"/>
        <w:ind w:hanging="173" w:start="173"/>
        <w:rPr/>
      </w:pPr>
      <w:r>
        <w:rPr>
          <w:b/>
          <w:color w:val="0078D4"/>
        </w:rPr>
        <w:t xml:space="preserve">6.  </w:t>
      </w:r>
      <w:r>
        <w:rPr/>
        <w:t>Personal data and monitoring outputs are handled according to information governance requirements.</w:t>
      </w:r>
    </w:p>
    <w:p>
      <w:pPr>
        <w:pStyle w:val="Normal"/>
        <w:spacing w:before="0" w:after="40"/>
        <w:ind w:hanging="173" w:start="173"/>
        <w:rPr/>
      </w:pPr>
      <w:r>
        <w:rPr>
          <w:b/>
          <w:color w:val="0078D4"/>
        </w:rPr>
        <w:t xml:space="preserve">7.  </w:t>
      </w:r>
      <w:r>
        <w:rPr/>
        <w:t>Material findings and actions are reported through the agreed service review or governance forum.</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&amp; Fabric Service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the monitoring purpose, governance and resulting estate-level decisions.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Administrator / Analytics Team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Collects, validates and analyses approved usage information.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Workspace and Content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Provide business context and own content-level actions.</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 / Privacy / Compliance</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on monitoring boundaries, personal data and evidence handling.</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Service Desk / Adoption Team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Uses approved insights to target support, guidance and training.</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Users and Stakeholders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 appropriate transparency about monitoring and material service changes.</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DocumentLabel"/>
        <w:spacing w:before="0" w:after="200"/>
        <w:rPr/>
      </w:pPr>
      <w:r>
        <w:rPr/>
        <w:t>US-09  |  SERVICE USER STORY</w:t>
      </w:r>
    </w:p>
    <w:p>
      <w:pPr>
        <w:pStyle w:val="Heading1"/>
        <w:rPr/>
      </w:pPr>
      <w:r>
        <w:rPr/>
        <w:t>Compliance Audits</w:t>
      </w:r>
    </w:p>
    <w:tbl>
      <w:tblPr>
        <w:tblW w:w="10080" w:type="dxa"/>
        <w:jc w:val="start"/>
        <w:tblInd w:w="208" w:type="dxa"/>
        <w:tblLayout w:type="fixed"/>
        <w:tblCellMar>
          <w:top w:w="180" w:type="dxa"/>
          <w:start w:w="220" w:type="dxa"/>
          <w:bottom w:w="180" w:type="dxa"/>
          <w:end w:w="220" w:type="dxa"/>
        </w:tblCellMar>
        <w:tblLook w:val="04a0" w:noHBand="0" w:noVBand="1" w:firstColumn="1" w:lastRow="0" w:lastColumn="0" w:firstRow="1"/>
      </w:tblPr>
      <w:tblGrid>
        <w:gridCol w:w="10080"/>
      </w:tblGrid>
      <w:tr>
        <w:trPr/>
        <w:tc>
          <w:tcPr>
            <w:tcW w:w="10080" w:type="dxa"/>
            <w:tcBorders>
              <w:top w:val="single" w:sz="10" w:space="0" w:color="0078D4"/>
              <w:start w:val="single" w:sz="10" w:space="0" w:color="0078D4"/>
              <w:bottom w:val="single" w:sz="10" w:space="0" w:color="0078D4"/>
              <w:end w:val="single" w:sz="10" w:space="0" w:color="0078D4"/>
            </w:tcBorders>
            <w:shd w:fill="EAF3F8" w:val="clear"/>
          </w:tcPr>
          <w:p>
            <w:pPr>
              <w:pStyle w:val="Normal"/>
              <w:widowControl/>
              <w:bidi w:val="0"/>
              <w:spacing w:lineRule="auto" w:line="240" w:before="0" w:after="80"/>
              <w:jc w:val="start"/>
              <w:rPr/>
            </w:pPr>
            <w:r>
              <w:rPr>
                <w:b/>
                <w:color w:val="17365D"/>
                <w:sz w:val="19"/>
              </w:rPr>
              <w:t>As the Power BI &amp; Fabric Service Owner, I want periodic compliance audits of the Power BI and Fabric estate, so that control effectiveness, policy adherence and material risks are evidenced and remedial action is tracked.</w:t>
            </w:r>
          </w:p>
        </w:tc>
      </w:tr>
    </w:tbl>
    <w:p>
      <w:pPr>
        <w:pStyle w:val="Normal"/>
        <w:spacing w:before="0" w:after="100"/>
        <w:rPr/>
      </w:pPr>
      <w:r>
        <w:rPr>
          <w:b/>
          <w:color w:val="008272"/>
        </w:rPr>
        <w:t xml:space="preserve">Trigger  </w:t>
      </w:r>
      <w:r>
        <w:rPr/>
        <w:t>Scheduled audit cycle, regulatory or internal assurance request, material change, control failure or risk event.</w:t>
      </w:r>
    </w:p>
    <w:p>
      <w:pPr>
        <w:pStyle w:val="Normal"/>
        <w:spacing w:before="0" w:after="100"/>
        <w:rPr/>
      </w:pPr>
      <w:r>
        <w:rPr>
          <w:b/>
          <w:color w:val="008272"/>
        </w:rPr>
        <w:t xml:space="preserve">Outcome  </w:t>
      </w:r>
      <w:r>
        <w:rPr/>
        <w:t>A complete, reviewable audit record with findings, accountable owners and tracked remediation.</w:t>
      </w:r>
    </w:p>
    <w:p>
      <w:pPr>
        <w:pStyle w:val="Heading2"/>
        <w:rPr/>
      </w:pPr>
      <w:r>
        <w:rPr/>
        <w:t>Acceptance criteria</w:t>
      </w:r>
    </w:p>
    <w:p>
      <w:pPr>
        <w:pStyle w:val="Normal"/>
        <w:spacing w:before="0" w:after="40"/>
        <w:ind w:hanging="173" w:start="173"/>
        <w:rPr/>
      </w:pPr>
      <w:r>
        <w:rPr>
          <w:b/>
          <w:color w:val="0078D4"/>
        </w:rPr>
        <w:t xml:space="preserve">1.  </w:t>
      </w:r>
      <w:r>
        <w:rPr/>
        <w:t>The audit scope, criteria, period, evidence sources and responsible auditor are agreed before fieldwork begins.</w:t>
      </w:r>
    </w:p>
    <w:p>
      <w:pPr>
        <w:pStyle w:val="Normal"/>
        <w:spacing w:before="0" w:after="40"/>
        <w:ind w:hanging="173" w:start="173"/>
        <w:rPr/>
      </w:pPr>
      <w:r>
        <w:rPr>
          <w:b/>
          <w:color w:val="0078D4"/>
        </w:rPr>
        <w:t xml:space="preserve">2.  </w:t>
      </w:r>
      <w:r>
        <w:rPr/>
        <w:t>Evidence covers the relevant controls, which may include tenant settings, privileged roles, workspace access, app audiences, gateways, capacities, sharing, external access, activity, ownership and support records.</w:t>
      </w:r>
    </w:p>
    <w:p>
      <w:pPr>
        <w:pStyle w:val="Normal"/>
        <w:spacing w:before="0" w:after="40"/>
        <w:ind w:hanging="173" w:start="173"/>
        <w:rPr/>
      </w:pPr>
      <w:r>
        <w:rPr>
          <w:b/>
          <w:color w:val="0078D4"/>
        </w:rPr>
        <w:t xml:space="preserve">3.  </w:t>
      </w:r>
      <w:r>
        <w:rPr/>
        <w:t>Evidence is time-stamped, access-controlled and traceable to the control being tested.</w:t>
      </w:r>
    </w:p>
    <w:p>
      <w:pPr>
        <w:pStyle w:val="Normal"/>
        <w:spacing w:before="0" w:after="40"/>
        <w:ind w:hanging="173" w:start="173"/>
        <w:rPr/>
      </w:pPr>
      <w:r>
        <w:rPr>
          <w:b/>
          <w:color w:val="0078D4"/>
        </w:rPr>
        <w:t xml:space="preserve">4.  </w:t>
      </w:r>
      <w:r>
        <w:rPr/>
        <w:t>Findings distinguish compliant operation, observation, control weakness and material non-compliance according to the organisation’s audit method.</w:t>
      </w:r>
    </w:p>
    <w:p>
      <w:pPr>
        <w:pStyle w:val="Normal"/>
        <w:spacing w:before="0" w:after="40"/>
        <w:ind w:hanging="173" w:start="173"/>
        <w:rPr/>
      </w:pPr>
      <w:r>
        <w:rPr>
          <w:b/>
          <w:color w:val="0078D4"/>
        </w:rPr>
        <w:t xml:space="preserve">5.  </w:t>
      </w:r>
      <w:r>
        <w:rPr/>
        <w:t>Each remediation has an accountable owner, target date, priority and closure evidence.</w:t>
      </w:r>
    </w:p>
    <w:p>
      <w:pPr>
        <w:pStyle w:val="Normal"/>
        <w:spacing w:before="0" w:after="40"/>
        <w:ind w:hanging="173" w:start="173"/>
        <w:rPr/>
      </w:pPr>
      <w:r>
        <w:rPr>
          <w:b/>
          <w:color w:val="0078D4"/>
        </w:rPr>
        <w:t xml:space="preserve">6.  </w:t>
      </w:r>
      <w:r>
        <w:rPr/>
        <w:t>Risk acceptance or exceptions are approved by the appropriate authority and include an expiry or review point.</w:t>
      </w:r>
    </w:p>
    <w:p>
      <w:pPr>
        <w:pStyle w:val="Normal"/>
        <w:spacing w:before="0" w:after="40"/>
        <w:ind w:hanging="173" w:start="173"/>
        <w:rPr/>
      </w:pPr>
      <w:r>
        <w:rPr>
          <w:b/>
          <w:color w:val="0078D4"/>
        </w:rPr>
        <w:t xml:space="preserve">7.  </w:t>
      </w:r>
      <w:r>
        <w:rPr/>
        <w:t>Results are reported to the agreed governance forum and retained according to record-management requirements.</w:t>
      </w:r>
    </w:p>
    <w:p>
      <w:pPr>
        <w:pStyle w:val="Heading2"/>
        <w:rPr/>
      </w:pPr>
      <w:r>
        <w:rPr/>
        <w:t>RACI allocation</w:t>
      </w:r>
    </w:p>
    <w:tbl>
      <w:tblPr>
        <w:tblW w:w="9360" w:type="dxa"/>
        <w:jc w:val="center"/>
        <w:tblInd w:w="0" w:type="dxa"/>
        <w:tblLayout w:type="fixed"/>
        <w:tblCellMar>
          <w:top w:w="65" w:type="dxa"/>
          <w:start w:w="100" w:type="dxa"/>
          <w:bottom w:w="65" w:type="dxa"/>
          <w:end w:w="100" w:type="dxa"/>
        </w:tblCellMar>
        <w:tblLook w:val="04a0" w:noHBand="0" w:noVBand="1" w:firstColumn="1" w:lastRow="0" w:lastColumn="0" w:firstRow="1"/>
      </w:tblPr>
      <w:tblGrid>
        <w:gridCol w:w="2952"/>
        <w:gridCol w:w="864"/>
        <w:gridCol w:w="5544"/>
      </w:tblGrid>
      <w:tr>
        <w:trPr>
          <w:tblHeader w:val="true"/>
        </w:trPr>
        <w:tc>
          <w:tcPr>
            <w:tcW w:w="2952"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Role</w:t>
            </w:r>
          </w:p>
        </w:tc>
        <w:tc>
          <w:tcPr>
            <w:tcW w:w="86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RACI</w:t>
            </w:r>
          </w:p>
        </w:tc>
        <w:tc>
          <w:tcPr>
            <w:tcW w:w="5544" w:type="dxa"/>
            <w:tcBorders>
              <w:top w:val="single" w:sz="6" w:space="0" w:color="17365D"/>
              <w:start w:val="single" w:sz="6" w:space="0" w:color="17365D"/>
              <w:bottom w:val="single" w:sz="6" w:space="0" w:color="17365D"/>
              <w:end w:val="single" w:sz="6" w:space="0" w:color="17365D"/>
            </w:tcBorders>
            <w:shd w:fill="17365D" w:val="clear"/>
            <w:vAlign w:val="center"/>
          </w:tcPr>
          <w:p>
            <w:pPr>
              <w:pStyle w:val="Normal"/>
              <w:spacing w:before="0" w:after="0"/>
              <w:rPr/>
            </w:pPr>
            <w:r>
              <w:rPr>
                <w:b/>
                <w:color w:val="FFFFFF"/>
                <w:sz w:val="16"/>
              </w:rPr>
              <w:t>Responsibility in this story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Power BI &amp; Fabric Service Owner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78D4"/>
                <w:sz w:val="18"/>
              </w:rPr>
              <w:t>A</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Owns the control environment and accepts the audit outcome and remediation plan.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Compliance / Internal Audit</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Defines the audit method, tests evidence and reports findings independently.</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Fabric Administrator</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008272"/>
                <w:sz w:val="18"/>
              </w:rPr>
              <w:t>R</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Provides evidence and completes assigned administrative remediation.</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Workspace / Content / Gateway / Capacity Owners</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Provide domain evidence and complete actions within their control.</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Information Security / Privacy</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806000"/>
                <w:sz w:val="18"/>
              </w:rPr>
              <w:t>C</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Advises on security, privacy, risk and exception treatment.</w:t>
            </w:r>
          </w:p>
        </w:tc>
      </w:tr>
      <w:tr>
        <w:trPr/>
        <w:tc>
          <w:tcPr>
            <w:tcW w:w="2952"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color w:val="1F2937"/>
                <w:sz w:val="16"/>
              </w:rPr>
              <w:t>Senior Governance Forum</w:t>
            </w:r>
          </w:p>
        </w:tc>
        <w:tc>
          <w:tcPr>
            <w:tcW w:w="86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jc w:val="center"/>
              <w:rPr/>
            </w:pPr>
            <w:r>
              <w:rPr>
                <w:b/>
                <w:color w:val="5B6573"/>
                <w:sz w:val="18"/>
              </w:rPr>
              <w:t>I</w:t>
            </w:r>
          </w:p>
        </w:tc>
        <w:tc>
          <w:tcPr>
            <w:tcW w:w="5544" w:type="dxa"/>
            <w:tcBorders>
              <w:top w:val="single" w:sz="6" w:space="0" w:color="D9E2F3"/>
              <w:start w:val="single" w:sz="6" w:space="0" w:color="D9E2F3"/>
              <w:bottom w:val="single" w:sz="6" w:space="0" w:color="D9E2F3"/>
              <w:end w:val="single" w:sz="6" w:space="0" w:color="D9E2F3"/>
            </w:tcBorders>
            <w:shd w:fill="FFFFFF" w:val="clear"/>
            <w:vAlign w:val="center"/>
          </w:tcPr>
          <w:p>
            <w:pPr>
              <w:pStyle w:val="Normal"/>
              <w:spacing w:before="0" w:after="0"/>
              <w:rPr/>
            </w:pPr>
            <w:r>
              <w:rPr>
                <w:b w:val="false"/>
                <w:color w:val="1F2937"/>
                <w:sz w:val="16"/>
              </w:rPr>
              <w:t>Receives material findings, risk acceptances and progress reporting.</w:t>
            </w:r>
          </w:p>
        </w:tc>
      </w:tr>
    </w:tbl>
    <w:p>
      <w:pPr>
        <w:pStyle w:val="Normal"/>
        <w:spacing w:before="0" w:after="0"/>
        <w:rPr/>
      </w:pPr>
      <w:r>
        <w:rPr/>
      </w:r>
    </w:p>
    <w:tbl>
      <w:tblPr>
        <w:tblW w:w="10080" w:type="dxa"/>
        <w:jc w:val="start"/>
        <w:tblInd w:w="113" w:type="dxa"/>
        <w:tblLayout w:type="fixed"/>
        <w:tblCellMar>
          <w:top w:w="80" w:type="dxa"/>
          <w:start w:w="120" w:type="dxa"/>
          <w:bottom w:w="80" w:type="dxa"/>
          <w:end w:w="120" w:type="dxa"/>
        </w:tblCellMar>
        <w:tblLook w:val="04a0" w:noHBand="0" w:noVBand="1" w:firstColumn="1" w:lastRow="0" w:lastColumn="0" w:firstRow="1"/>
      </w:tblPr>
      <w:tblGrid>
        <w:gridCol w:w="10080"/>
      </w:tblGrid>
      <w:tr>
        <w:trPr/>
        <w:tc>
          <w:tcPr>
            <w:tcW w:w="10080" w:type="dxa"/>
            <w:tcBorders>
              <w:top w:val="single" w:sz="6" w:space="0" w:color="D9E2F3"/>
              <w:start w:val="single" w:sz="6" w:space="0" w:color="D9E2F3"/>
              <w:bottom w:val="single" w:sz="6" w:space="0" w:color="D9E2F3"/>
              <w:end w:val="single" w:sz="6" w:space="0" w:color="D9E2F3"/>
            </w:tcBorders>
            <w:shd w:fill="F4F6F8" w:val="clear"/>
          </w:tcPr>
          <w:p>
            <w:pPr>
              <w:pStyle w:val="Normal"/>
              <w:widowControl/>
              <w:bidi w:val="0"/>
              <w:spacing w:lineRule="auto" w:line="240" w:before="0" w:after="80"/>
              <w:jc w:val="start"/>
              <w:rPr/>
            </w:pPr>
            <w:r>
              <w:rPr>
                <w:b/>
                <w:color w:val="008272"/>
              </w:rPr>
              <w:t xml:space="preserve">Control note  </w:t>
            </w:r>
            <w:r>
              <w:rPr/>
              <w:t>The Service Desk ticket, change record, audit record or service review should provide the evidence trail appropriate to this story. The detailed evidence set should be defined in the supporting procedure.</w:t>
            </w:r>
          </w:p>
        </w:tc>
      </w:tr>
    </w:tbl>
    <w:p>
      <w:pPr>
        <w:pStyle w:val="Normal"/>
        <w:rPr/>
      </w:pPr>
      <w:r>
        <w:rPr/>
      </w:r>
      <w:r>
        <w:br w:type="page"/>
      </w:r>
    </w:p>
    <w:p>
      <w:pPr>
        <w:pStyle w:val="Heading1"/>
        <w:spacing w:before="0" w:after="100"/>
        <w:rPr/>
      </w:pPr>
      <w:r>
        <w:rPr/>
        <w:t>12. Implementation guidance</w:t>
      </w:r>
    </w:p>
    <w:p>
      <w:pPr>
        <w:pStyle w:val="Normal"/>
        <w:rPr/>
      </w:pPr>
      <w:r>
        <w:rPr/>
        <w:t>The user stories establish the purpose and accountability of each service activity. They should be implemented through a small set of reusable operating artefacts rather than nine unrelated process documents.</w:t>
      </w:r>
    </w:p>
    <w:p>
      <w:pPr>
        <w:pStyle w:val="Heading2"/>
        <w:rPr/>
      </w:pPr>
      <w:r>
        <w:rPr/>
        <w:t>Recommended supporting artefacts</w:t>
      </w:r>
    </w:p>
    <w:p>
      <w:pPr>
        <w:pStyle w:val="ListBullet"/>
        <w:numPr>
          <w:ilvl w:val="0"/>
          <w:numId w:val="1"/>
        </w:numPr>
        <w:spacing w:before="0" w:after="60"/>
        <w:ind w:hanging="360" w:start="317"/>
        <w:contextualSpacing/>
        <w:rPr/>
      </w:pPr>
      <w:r>
        <w:rPr/>
        <w:t>Service request forms for workspace creation and access changes.</w:t>
      </w:r>
    </w:p>
    <w:p>
      <w:pPr>
        <w:pStyle w:val="ListBullet"/>
        <w:numPr>
          <w:ilvl w:val="0"/>
          <w:numId w:val="1"/>
        </w:numPr>
        <w:spacing w:before="0" w:after="60"/>
        <w:ind w:hanging="360" w:start="317"/>
        <w:contextualSpacing/>
        <w:rPr/>
      </w:pPr>
      <w:r>
        <w:rPr/>
        <w:t>Operational runbooks for refresh failures, gateway maintenance and capacity incidents.</w:t>
      </w:r>
    </w:p>
    <w:p>
      <w:pPr>
        <w:pStyle w:val="ListBullet"/>
        <w:numPr>
          <w:ilvl w:val="0"/>
          <w:numId w:val="1"/>
        </w:numPr>
        <w:spacing w:before="0" w:after="60"/>
        <w:ind w:hanging="360" w:start="317"/>
        <w:contextualSpacing/>
        <w:rPr/>
      </w:pPr>
      <w:r>
        <w:rPr/>
        <w:t>Registers for tenant settings, workspaces, gateways, capacities, ownership and approved exceptions.</w:t>
      </w:r>
    </w:p>
    <w:p>
      <w:pPr>
        <w:pStyle w:val="ListBullet"/>
        <w:numPr>
          <w:ilvl w:val="0"/>
          <w:numId w:val="1"/>
        </w:numPr>
        <w:spacing w:before="0" w:after="60"/>
        <w:ind w:hanging="360" w:start="317"/>
        <w:contextualSpacing/>
        <w:rPr/>
      </w:pPr>
      <w:r>
        <w:rPr/>
        <w:t>Standard evidence packs for permission reviews, usage reviews and compliance audits.</w:t>
      </w:r>
    </w:p>
    <w:p>
      <w:pPr>
        <w:pStyle w:val="ListBullet"/>
        <w:numPr>
          <w:ilvl w:val="0"/>
          <w:numId w:val="1"/>
        </w:numPr>
        <w:spacing w:before="0" w:after="60"/>
        <w:ind w:hanging="360" w:start="317"/>
        <w:contextualSpacing/>
        <w:rPr/>
      </w:pPr>
      <w:r>
        <w:rPr/>
        <w:t>Release checklist for workspace app publication.</w:t>
      </w:r>
    </w:p>
    <w:p>
      <w:pPr>
        <w:pStyle w:val="Heading2"/>
        <w:rPr/>
      </w:pPr>
      <w:r>
        <w:rPr/>
        <w:t>Governance cadence</w:t>
      </w:r>
    </w:p>
    <w:p>
      <w:pPr>
        <w:pStyle w:val="ListBullet"/>
        <w:numPr>
          <w:ilvl w:val="0"/>
          <w:numId w:val="1"/>
        </w:numPr>
        <w:spacing w:before="0" w:after="60"/>
        <w:ind w:hanging="360" w:start="317"/>
        <w:contextualSpacing/>
        <w:rPr/>
      </w:pPr>
      <w:r>
        <w:rPr/>
        <w:t>Agree a regular service review covering tenant configuration, capacity, gateway health, usage, incidents and control actions.</w:t>
      </w:r>
    </w:p>
    <w:p>
      <w:pPr>
        <w:pStyle w:val="ListBullet"/>
        <w:numPr>
          <w:ilvl w:val="0"/>
          <w:numId w:val="1"/>
        </w:numPr>
        <w:spacing w:before="0" w:after="60"/>
        <w:ind w:hanging="360" w:start="317"/>
        <w:contextualSpacing/>
        <w:rPr/>
      </w:pPr>
      <w:r>
        <w:rPr/>
        <w:t>Use exception-based reporting so attention is directed to material change, risk or degradation.</w:t>
      </w:r>
    </w:p>
    <w:p>
      <w:pPr>
        <w:pStyle w:val="ListBullet"/>
        <w:numPr>
          <w:ilvl w:val="0"/>
          <w:numId w:val="1"/>
        </w:numPr>
        <w:spacing w:before="0" w:after="60"/>
        <w:ind w:hanging="360" w:start="317"/>
        <w:contextualSpacing/>
        <w:rPr/>
      </w:pPr>
      <w:r>
        <w:rPr/>
        <w:t>Review the RACI whenever organisational responsibilities, licensing, capacity strategy or support arrangements change.</w:t>
      </w:r>
    </w:p>
    <w:p>
      <w:pPr>
        <w:pStyle w:val="Heading2"/>
        <w:rPr/>
      </w:pPr>
      <w:r>
        <w:rPr/>
        <w:t>Definition of ready</w:t>
      </w:r>
    </w:p>
    <w:p>
      <w:pPr>
        <w:pStyle w:val="ListBullet"/>
        <w:numPr>
          <w:ilvl w:val="0"/>
          <w:numId w:val="1"/>
        </w:numPr>
        <w:spacing w:before="0" w:after="60"/>
        <w:ind w:hanging="360" w:start="317"/>
        <w:contextualSpacing/>
        <w:rPr/>
      </w:pPr>
      <w:r>
        <w:rPr/>
        <w:t>The accountable owner is named.</w:t>
      </w:r>
    </w:p>
    <w:p>
      <w:pPr>
        <w:pStyle w:val="ListBullet"/>
        <w:numPr>
          <w:ilvl w:val="0"/>
          <w:numId w:val="1"/>
        </w:numPr>
        <w:spacing w:before="0" w:after="60"/>
        <w:ind w:hanging="360" w:start="317"/>
        <w:contextualSpacing/>
        <w:rPr/>
      </w:pPr>
      <w:r>
        <w:rPr/>
        <w:t>The request or trigger is recorded.</w:t>
      </w:r>
    </w:p>
    <w:p>
      <w:pPr>
        <w:pStyle w:val="ListBullet"/>
        <w:numPr>
          <w:ilvl w:val="0"/>
          <w:numId w:val="1"/>
        </w:numPr>
        <w:spacing w:before="0" w:after="60"/>
        <w:ind w:hanging="360" w:start="317"/>
        <w:contextualSpacing/>
        <w:rPr/>
      </w:pPr>
      <w:r>
        <w:rPr/>
        <w:t>Required information and approvals are present.</w:t>
      </w:r>
    </w:p>
    <w:p>
      <w:pPr>
        <w:pStyle w:val="ListBullet"/>
        <w:numPr>
          <w:ilvl w:val="0"/>
          <w:numId w:val="1"/>
        </w:numPr>
        <w:spacing w:before="0" w:after="60"/>
        <w:ind w:hanging="360" w:start="317"/>
        <w:contextualSpacing/>
        <w:rPr/>
      </w:pPr>
      <w:r>
        <w:rPr/>
        <w:t>The responsible team has sufficient access and authority to act.</w:t>
      </w:r>
    </w:p>
    <w:p>
      <w:pPr>
        <w:pStyle w:val="Heading2"/>
        <w:rPr/>
      </w:pPr>
      <w:r>
        <w:rPr/>
        <w:t>Definition of done</w:t>
      </w:r>
    </w:p>
    <w:p>
      <w:pPr>
        <w:pStyle w:val="ListBullet"/>
        <w:numPr>
          <w:ilvl w:val="0"/>
          <w:numId w:val="1"/>
        </w:numPr>
        <w:spacing w:before="0" w:after="60"/>
        <w:ind w:hanging="360" w:start="317"/>
        <w:contextualSpacing/>
        <w:rPr/>
      </w:pPr>
      <w:r>
        <w:rPr/>
        <w:t>The intended outcome is achieved and verified.</w:t>
      </w:r>
    </w:p>
    <w:p>
      <w:pPr>
        <w:pStyle w:val="ListBullet"/>
        <w:numPr>
          <w:ilvl w:val="0"/>
          <w:numId w:val="1"/>
        </w:numPr>
        <w:spacing w:before="0" w:after="60"/>
        <w:ind w:hanging="360" w:start="317"/>
        <w:contextualSpacing/>
        <w:rPr/>
      </w:pPr>
      <w:r>
        <w:rPr/>
        <w:t>The accountable owner accepts any residual business risk.</w:t>
      </w:r>
    </w:p>
    <w:p>
      <w:pPr>
        <w:pStyle w:val="ListBullet"/>
        <w:numPr>
          <w:ilvl w:val="0"/>
          <w:numId w:val="1"/>
        </w:numPr>
        <w:spacing w:before="0" w:after="60"/>
        <w:ind w:hanging="360" w:start="317"/>
        <w:contextualSpacing/>
        <w:rPr/>
      </w:pPr>
      <w:r>
        <w:rPr/>
        <w:t>Evidence and decisions are retained in the designated system of record.</w:t>
      </w:r>
    </w:p>
    <w:p>
      <w:pPr>
        <w:pStyle w:val="ListBullet"/>
        <w:numPr>
          <w:ilvl w:val="0"/>
          <w:numId w:val="1"/>
        </w:numPr>
        <w:spacing w:before="0" w:after="60"/>
        <w:ind w:hanging="360" w:start="317"/>
        <w:contextualSpacing/>
        <w:rPr/>
      </w:pPr>
      <w:r>
        <w:rPr/>
        <w:t>Affected stakeholders receive appropriate communication.</w:t>
      </w:r>
    </w:p>
    <w:p>
      <w:pPr>
        <w:pStyle w:val="ListBullet"/>
        <w:numPr>
          <w:ilvl w:val="0"/>
          <w:numId w:val="1"/>
        </w:numPr>
        <w:spacing w:before="0" w:after="60"/>
        <w:ind w:hanging="360" w:start="317"/>
        <w:contextualSpacing/>
        <w:rPr/>
      </w:pPr>
      <w:r>
        <w:rPr/>
        <w:t>Follow-up improvements are assigned rather than lost at closure.</w:t>
      </w:r>
    </w:p>
    <w:p>
      <w:pPr>
        <w:pStyle w:val="Heading2"/>
        <w:rPr/>
      </w:pPr>
      <w:r>
        <w:rPr/>
        <w:t>Reference basis</w:t>
      </w:r>
    </w:p>
    <w:p>
      <w:pPr>
        <w:pStyle w:val="Normal"/>
        <w:rPr/>
      </w:pPr>
      <w:r>
        <w:rPr/>
        <w:t>This working document was informed by the supplied brief, existing internal Power BI operating-model materials, and Microsoft guidance on tenant administration, workspace management, Microsoft Entra integration, gateway administration, capacity management and security planning. It is an operating-model draft, not a substitute for the organisation’s approved security, service management or compliance policies.</w:t>
      </w:r>
    </w:p>
    <w:p>
      <w:pPr>
        <w:pStyle w:val="ListBullet"/>
        <w:numPr>
          <w:ilvl w:val="0"/>
          <w:numId w:val="1"/>
        </w:numPr>
        <w:rPr/>
      </w:pPr>
      <w:r>
        <w:rPr>
          <w:b/>
        </w:rPr>
        <w:t xml:space="preserve">Microsoft Learn: </w:t>
      </w:r>
      <w:r>
        <w:rPr/>
        <w:t>Power BI implementation planning: Tenant administration</w:t>
      </w:r>
    </w:p>
    <w:p>
      <w:pPr>
        <w:pStyle w:val="ListBullet"/>
        <w:numPr>
          <w:ilvl w:val="0"/>
          <w:numId w:val="1"/>
        </w:numPr>
        <w:rPr/>
      </w:pPr>
      <w:r>
        <w:rPr>
          <w:b/>
        </w:rPr>
        <w:t xml:space="preserve">Microsoft Learn: </w:t>
      </w:r>
      <w:r>
        <w:rPr/>
        <w:t>Plan deployment to migrate to Power BI</w:t>
      </w:r>
    </w:p>
    <w:p>
      <w:pPr>
        <w:pStyle w:val="ListBullet"/>
        <w:numPr>
          <w:ilvl w:val="0"/>
          <w:numId w:val="1"/>
        </w:numPr>
        <w:rPr/>
      </w:pPr>
      <w:r>
        <w:rPr>
          <w:b/>
        </w:rPr>
        <w:t xml:space="preserve">Microsoft Learn: </w:t>
      </w:r>
      <w:r>
        <w:rPr/>
        <w:t>Microsoft Fabric adoption roadmap: System oversight</w:t>
      </w:r>
    </w:p>
    <w:p>
      <w:pPr>
        <w:pStyle w:val="ListBullet"/>
        <w:numPr>
          <w:ilvl w:val="0"/>
          <w:numId w:val="1"/>
        </w:numPr>
        <w:rPr/>
      </w:pPr>
      <w:r>
        <w:rPr>
          <w:b/>
        </w:rPr>
        <w:t xml:space="preserve">Microsoft Learn: </w:t>
      </w:r>
      <w:r>
        <w:rPr/>
        <w:t>Power BI implementation planning: Tenant-level security planning</w:t>
      </w:r>
    </w:p>
    <w:p>
      <w:pPr>
        <w:pStyle w:val="ListBullet"/>
        <w:numPr>
          <w:ilvl w:val="0"/>
          <w:numId w:val="1"/>
        </w:numPr>
        <w:spacing w:before="0" w:after="80"/>
        <w:contextualSpacing/>
        <w:rPr/>
      </w:pPr>
      <w:r>
        <w:rPr>
          <w:b/>
        </w:rPr>
        <w:t xml:space="preserve">Internal: </w:t>
      </w:r>
      <w:r>
        <w:rPr/>
        <w:t>Power_Automate_for_Power_BI_Sales_Deck_with_Appendix</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3"/>
        <w:sz w:val="16"/>
      </w:rPr>
      <w:t xml:space="preserve">Controlled working document  |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3"/>
        <w:sz w:val="16"/>
      </w:rPr>
      <w:t xml:space="preserve">Controlled working document  |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ocumentLabel"/>
      <w:spacing w:before="0" w:after="200"/>
      <w:jc w:val="end"/>
      <w:rPr/>
    </w:pPr>
    <w:r>
      <w:rPr/>
      <w:t>POWER BI ADMINISTRATION AND SUPPORT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ocumentLabel"/>
      <w:spacing w:before="0" w:after="200"/>
      <w:jc w:val="end"/>
      <w:rPr/>
    </w:pPr>
    <w:r>
      <w:rPr/>
      <w:t>POWER BI ADMINISTRATION AND SUPPORT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80"/>
      <w:jc w:val="start"/>
    </w:pPr>
    <w:rPr>
      <w:rFonts w:ascii="Aptos" w:hAnsi="Aptos" w:eastAsia="ＭＳ 明朝" w:cs=""/>
      <w:color w:val="1F2937"/>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100"/>
      <w:outlineLvl w:val="0"/>
    </w:pPr>
    <w:rPr>
      <w:rFonts w:ascii="Calibri" w:hAnsi="Calibri" w:eastAsia="ＭＳ ゴシック" w:cs="" w:asciiTheme="majorHAnsi" w:cstheme="majorBidi" w:eastAsiaTheme="majorEastAsia" w:hAnsiTheme="majorHAnsi"/>
      <w:b/>
      <w:bCs/>
      <w:color w:val="17365D"/>
      <w:sz w:val="30"/>
      <w:szCs w:val="28"/>
    </w:rPr>
  </w:style>
  <w:style w:type="paragraph" w:styleId="Heading2">
    <w:name w:val="heading 2"/>
    <w:basedOn w:val="Normal"/>
    <w:next w:val="Normal"/>
    <w:link w:val="Heading2Char"/>
    <w:uiPriority w:val="9"/>
    <w:unhideWhenUsed/>
    <w:qFormat/>
    <w:rsid w:val="00fc693f"/>
    <w:pPr>
      <w:keepNext w:val="true"/>
      <w:keepLines/>
      <w:spacing w:before="80" w:after="100"/>
      <w:outlineLvl w:val="1"/>
    </w:pPr>
    <w:rPr>
      <w:rFonts w:ascii="Calibri" w:hAnsi="Calibri" w:eastAsia="ＭＳ ゴシック" w:cs="" w:asciiTheme="majorHAnsi" w:cstheme="majorBidi" w:eastAsiaTheme="majorEastAsia" w:hAnsiTheme="majorHAnsi"/>
      <w:b/>
      <w:bCs/>
      <w:color w:val="0078D4"/>
      <w:sz w:val="23"/>
      <w:szCs w:val="26"/>
    </w:rPr>
  </w:style>
  <w:style w:type="paragraph" w:styleId="Heading3">
    <w:name w:val="heading 3"/>
    <w:basedOn w:val="Normal"/>
    <w:next w:val="Normal"/>
    <w:link w:val="Heading3Char"/>
    <w:uiPriority w:val="9"/>
    <w:unhideWhenUsed/>
    <w:qFormat/>
    <w:rsid w:val="00fc693f"/>
    <w:pPr>
      <w:keepNext w:val="true"/>
      <w:keepLines/>
      <w:spacing w:before="60" w:after="100"/>
      <w:outlineLvl w:val="2"/>
    </w:pPr>
    <w:rPr>
      <w:rFonts w:ascii="Calibri" w:hAnsi="Calibri" w:eastAsia="ＭＳ ゴシック" w:cs="" w:asciiTheme="majorHAnsi" w:cstheme="majorBidi" w:eastAsiaTheme="majorEastAsia" w:hAnsiTheme="majorHAnsi"/>
      <w:b/>
      <w:bCs/>
      <w:color w:val="008272"/>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240" w:after="100"/>
      <w:contextualSpacing/>
    </w:pPr>
    <w:rPr>
      <w:rFonts w:ascii="Calibri" w:hAnsi="Calibri" w:eastAsia="ＭＳ ゴシック" w:cs="" w:asciiTheme="majorHAnsi" w:cstheme="majorBidi" w:eastAsiaTheme="majorEastAsia" w:hAnsiTheme="majorHAnsi"/>
      <w:b/>
      <w:color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ocumentLabel" w:customStyle="1">
    <w:name w:val="Document Label"/>
    <w:qFormat/>
    <w:pPr>
      <w:widowControl/>
      <w:bidi w:val="0"/>
      <w:spacing w:lineRule="auto" w:line="276" w:before="0" w:after="200"/>
      <w:jc w:val="start"/>
    </w:pPr>
    <w:rPr>
      <w:rFonts w:ascii="Aptos" w:hAnsi="Aptos" w:eastAsia="ＭＳ 明朝" w:cs=""/>
      <w:b/>
      <w:color w:val="008272"/>
      <w:kern w:val="0"/>
      <w:sz w:val="18"/>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LibreOffice/25.8.5.2$Linux_X86_64 LibreOffice_project/580$Build-2</Application>
  <AppVersion>15.0000</AppVersion>
  <Pages>13</Pages>
  <Words>3537</Words>
  <Characters>21904</Characters>
  <CharactersWithSpaces>25076</CharactersWithSpaces>
  <Paragraphs>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2026-09-22T12:27:58Z</dcterms:created>
  <dc:creator>Waterston, Ross</dc:creator>
  <dc:description>generated by python-docx</dc:description>
  <cp:keywords>Power BI Fabric user stories RACI administration support governance</cp:keywords>
  <dc:language>en-GB</dc:language>
  <cp:lastModifiedBy/>
  <cp:lastPrinted>2026-09-22T14:22:30Z</cp:lastPrinted>
  <dcterms:modified xsi:type="dcterms:W3CDTF">2026-09-22T16:15:46Z</dcterms:modified>
  <cp:revision>2</cp:revision>
  <dc:subject>User stories and RACI for Power BI administration and support</dc:subject>
  <dc:title>Power BI Administration and Support User Stories</dc:title>
</cp:coreProperties>
</file>

<file path=docProps/custom.xml><?xml version="1.0" encoding="utf-8"?>
<Properties xmlns="http://schemas.openxmlformats.org/officeDocument/2006/custom-properties" xmlns:vt="http://schemas.openxmlformats.org/officeDocument/2006/docPropsVTypes"/>
</file>