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63D8" w:rsidRDefault="0078739E" w:rsidP="00121CB6">
      <w:pPr>
        <w:pStyle w:val="Title"/>
      </w:pPr>
      <w:r>
        <w:t xml:space="preserve">Modifying </w:t>
      </w:r>
      <w:r w:rsidR="00BF2F97">
        <w:t>CAVI</w:t>
      </w:r>
      <w:r w:rsidR="009D56DD">
        <w:t xml:space="preserve"> Model</w:t>
      </w:r>
      <w:r>
        <w:t xml:space="preserve"> for ESP Analysis </w:t>
      </w:r>
    </w:p>
    <w:p w:rsidR="0078739E" w:rsidRDefault="00DF7B24" w:rsidP="00121CB6">
      <w:r>
        <w:t>Ross Wickham</w:t>
      </w:r>
    </w:p>
    <w:p w:rsidR="000A19E5" w:rsidRDefault="0080249A" w:rsidP="00121CB6">
      <w:r>
        <w:t>Written for CWMS 3</w:t>
      </w:r>
      <w:r w:rsidR="000A19E5">
        <w:t>.1</w:t>
      </w:r>
    </w:p>
    <w:p w:rsidR="00DF7B24" w:rsidRDefault="00DF7B24" w:rsidP="00CE24E4">
      <w:pPr>
        <w:pStyle w:val="Heading1"/>
      </w:pPr>
      <w:r w:rsidRPr="00CE24E4">
        <w:t>Summary</w:t>
      </w:r>
    </w:p>
    <w:p w:rsidR="00DC5A5C" w:rsidRDefault="00DF7B24" w:rsidP="00121CB6">
      <w:r>
        <w:t xml:space="preserve">This report documents the process used to modify </w:t>
      </w:r>
      <w:r w:rsidR="00CE24E4">
        <w:t>a</w:t>
      </w:r>
      <w:r>
        <w:t xml:space="preserve"> ResSim model for use with the Ensemble Streamflow Prediction (ESP) dataset developed by the Northwest River Forecast Center (NWRFC). The modification will allow Monte Carlo analyses to be quickly computed</w:t>
      </w:r>
      <w:r w:rsidR="00524D37">
        <w:t xml:space="preserve"> in forecast scenarios</w:t>
      </w:r>
      <w:r>
        <w:t>, providing a statistical likelihood for conditions of concern in the watershed.</w:t>
      </w:r>
      <w:r w:rsidR="00880D41">
        <w:t xml:space="preserve">  The major effort of modification involves remapping</w:t>
      </w:r>
      <w:r w:rsidR="00CF1903">
        <w:t xml:space="preserve"> ESP</w:t>
      </w:r>
      <w:r w:rsidR="00880D41">
        <w:t xml:space="preserve"> inflows to </w:t>
      </w:r>
      <w:r w:rsidR="00CF1903">
        <w:t>CCP flow locations</w:t>
      </w:r>
      <w:r w:rsidR="00DC5A5C">
        <w:t xml:space="preserve"> </w:t>
      </w:r>
      <w:r w:rsidR="000A19E5">
        <w:t xml:space="preserve">used in </w:t>
      </w:r>
      <w:r w:rsidR="00CF1903">
        <w:t>the ResSim model (Inflow Modifications section)</w:t>
      </w:r>
      <w:r w:rsidR="000A19E5">
        <w:t>.  Section layout</w:t>
      </w:r>
      <w:r w:rsidR="008B5238">
        <w:t>s in this document</w:t>
      </w:r>
      <w:r w:rsidR="005B56B5">
        <w:t xml:space="preserve"> are</w:t>
      </w:r>
      <w:r w:rsidR="000A19E5">
        <w:t xml:space="preserve"> as follows:</w:t>
      </w:r>
    </w:p>
    <w:p w:rsidR="00E75500" w:rsidRDefault="000A19E5" w:rsidP="00121CB6">
      <w:r w:rsidRPr="000A19E5">
        <w:rPr>
          <w:b/>
        </w:rPr>
        <w:t>Deployment</w:t>
      </w:r>
      <w:r>
        <w:t xml:space="preserve"> –</w:t>
      </w:r>
      <w:r w:rsidR="00E75500">
        <w:t xml:space="preserve"> downloading tool, and establishing basic configuration</w:t>
      </w:r>
    </w:p>
    <w:p w:rsidR="006D7D8E" w:rsidRDefault="00DE277C" w:rsidP="00121CB6">
      <w:r>
        <w:rPr>
          <w:b/>
        </w:rPr>
        <w:t>ESP Local Flow Computation and Configuration</w:t>
      </w:r>
      <w:r w:rsidR="006D7D8E">
        <w:t xml:space="preserve"> – </w:t>
      </w:r>
      <w:r>
        <w:t xml:space="preserve">creating </w:t>
      </w:r>
      <w:r w:rsidR="006D7D8E">
        <w:t xml:space="preserve">required relationships used to establish </w:t>
      </w:r>
      <w:r>
        <w:t>local ESP time series</w:t>
      </w:r>
    </w:p>
    <w:p w:rsidR="004B152E" w:rsidRDefault="00436D67" w:rsidP="00121CB6">
      <w:r>
        <w:rPr>
          <w:b/>
        </w:rPr>
        <w:t>ResSim and CAVI Setup</w:t>
      </w:r>
      <w:r w:rsidR="004B152E">
        <w:t xml:space="preserve"> –</w:t>
      </w:r>
      <w:r>
        <w:t xml:space="preserve">create an </w:t>
      </w:r>
      <w:r w:rsidR="004B152E">
        <w:t xml:space="preserve">ESP </w:t>
      </w:r>
      <w:r>
        <w:t>alternative</w:t>
      </w:r>
      <w:r w:rsidR="00F55DF9">
        <w:t xml:space="preserve"> in ResSim and the CAVI</w:t>
      </w:r>
    </w:p>
    <w:p w:rsidR="008B5238" w:rsidRPr="00790FDA" w:rsidRDefault="00790FDA" w:rsidP="00121CB6">
      <w:r>
        <w:rPr>
          <w:b/>
        </w:rPr>
        <w:t xml:space="preserve">Running </w:t>
      </w:r>
      <w:r w:rsidR="00CA1B10">
        <w:rPr>
          <w:b/>
        </w:rPr>
        <w:t xml:space="preserve">ESP </w:t>
      </w:r>
      <w:r>
        <w:rPr>
          <w:b/>
        </w:rPr>
        <w:t>Simulation</w:t>
      </w:r>
      <w:r>
        <w:t xml:space="preserve"> </w:t>
      </w:r>
      <w:r w:rsidR="00CA1B10">
        <w:t>–</w:t>
      </w:r>
      <w:r>
        <w:t xml:space="preserve"> </w:t>
      </w:r>
      <w:r w:rsidR="00CA1B10">
        <w:t xml:space="preserve"> run an ESP simulation once initial setup of CAVI for ESP is completed</w:t>
      </w:r>
    </w:p>
    <w:p w:rsidR="008E31BF" w:rsidRDefault="008E31BF" w:rsidP="00CE24E4">
      <w:pPr>
        <w:pStyle w:val="Heading1"/>
      </w:pPr>
      <w:r>
        <w:br w:type="page"/>
      </w:r>
    </w:p>
    <w:p w:rsidR="00494F12" w:rsidRDefault="00494F12" w:rsidP="00CE24E4">
      <w:pPr>
        <w:pStyle w:val="Heading1"/>
      </w:pPr>
      <w:r w:rsidRPr="00CE24E4">
        <w:lastRenderedPageBreak/>
        <w:t>Deployment</w:t>
      </w:r>
    </w:p>
    <w:p w:rsidR="000A73ED" w:rsidRDefault="000A73ED" w:rsidP="000A73ED">
      <w:r>
        <w:t>The following sections outline the steps, in sequence, needed to develop a CWMS ESP watershed from a CWMS watershed</w:t>
      </w:r>
    </w:p>
    <w:p w:rsidR="0054340F" w:rsidRPr="000A73ED" w:rsidRDefault="0054340F" w:rsidP="00CE24E4">
      <w:pPr>
        <w:pStyle w:val="Heading2"/>
      </w:pPr>
      <w:r>
        <w:t>Initial Tool Setup</w:t>
      </w:r>
    </w:p>
    <w:p w:rsidR="00A33EB4" w:rsidRDefault="00A33EB4" w:rsidP="0054340F">
      <w:pPr>
        <w:pStyle w:val="Heading3"/>
      </w:pPr>
      <w:r>
        <w:t>Download ‘cwms_esp’ from GitHub</w:t>
      </w:r>
    </w:p>
    <w:p w:rsidR="001E4F9E" w:rsidRDefault="001E4F9E" w:rsidP="001E4F9E">
      <w:r>
        <w:t>The cwms_esp tool is on GitHub at the following url:</w:t>
      </w:r>
    </w:p>
    <w:p w:rsidR="001E4F9E" w:rsidRDefault="00D12B3A" w:rsidP="001E4F9E">
      <w:hyperlink r:id="rId8" w:history="1">
        <w:r w:rsidR="001E4F9E" w:rsidRPr="001E4F9E">
          <w:rPr>
            <w:rStyle w:val="Hyperlink"/>
          </w:rPr>
          <w:t>https://github.com/RossWickham/cwms_esp</w:t>
        </w:r>
      </w:hyperlink>
    </w:p>
    <w:p w:rsidR="008E31BF" w:rsidRDefault="008E31BF" w:rsidP="001E4F9E">
      <w:r>
        <w:t>Download the tool as a zip file:</w:t>
      </w:r>
    </w:p>
    <w:p w:rsidR="008E31BF" w:rsidRPr="001E4F9E" w:rsidRDefault="008E31BF" w:rsidP="001E4F9E">
      <w:r>
        <w:rPr>
          <w:noProof/>
        </w:rPr>
        <w:drawing>
          <wp:inline distT="0" distB="0" distL="0" distR="0">
            <wp:extent cx="5454226" cy="24844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39993"/>
                    <a:stretch/>
                  </pic:blipFill>
                  <pic:spPr bwMode="auto">
                    <a:xfrm>
                      <a:off x="0" y="0"/>
                      <a:ext cx="5458554" cy="2486379"/>
                    </a:xfrm>
                    <a:prstGeom prst="rect">
                      <a:avLst/>
                    </a:prstGeom>
                    <a:noFill/>
                    <a:ln>
                      <a:noFill/>
                    </a:ln>
                    <a:extLst>
                      <a:ext uri="{53640926-AAD7-44D8-BBD7-CCE9431645EC}">
                        <a14:shadowObscured xmlns:a14="http://schemas.microsoft.com/office/drawing/2010/main"/>
                      </a:ext>
                    </a:extLst>
                  </pic:spPr>
                </pic:pic>
              </a:graphicData>
            </a:graphic>
          </wp:inline>
        </w:drawing>
      </w:r>
    </w:p>
    <w:p w:rsidR="00A33EB4" w:rsidRPr="00C60768" w:rsidRDefault="008E31BF" w:rsidP="00A33EB4">
      <w:r>
        <w:t>Unzip into the main CWMS directory containing the watershed, forecast, and database folders</w:t>
      </w:r>
      <w:r w:rsidR="00C60768">
        <w:t xml:space="preserve">.  </w:t>
      </w:r>
      <w:r w:rsidR="00C60768">
        <w:rPr>
          <w:b/>
        </w:rPr>
        <w:t>Rename the folder to ‘cwms_esp’ if needed – there are scripts that require this naming convention.</w:t>
      </w:r>
    </w:p>
    <w:p w:rsidR="008E31BF" w:rsidRDefault="008E31BF" w:rsidP="00A33EB4">
      <w:r w:rsidRPr="008E31BF">
        <w:rPr>
          <w:noProof/>
        </w:rPr>
        <w:drawing>
          <wp:inline distT="0" distB="0" distL="0" distR="0" wp14:anchorId="054F78BB" wp14:editId="34B254A3">
            <wp:extent cx="2333625" cy="14337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27281"/>
                    <a:stretch/>
                  </pic:blipFill>
                  <pic:spPr bwMode="auto">
                    <a:xfrm>
                      <a:off x="0" y="0"/>
                      <a:ext cx="2333951" cy="1433979"/>
                    </a:xfrm>
                    <a:prstGeom prst="rect">
                      <a:avLst/>
                    </a:prstGeom>
                    <a:ln>
                      <a:noFill/>
                    </a:ln>
                    <a:extLst>
                      <a:ext uri="{53640926-AAD7-44D8-BBD7-CCE9431645EC}">
                        <a14:shadowObscured xmlns:a14="http://schemas.microsoft.com/office/drawing/2010/main"/>
                      </a:ext>
                    </a:extLst>
                  </pic:spPr>
                </pic:pic>
              </a:graphicData>
            </a:graphic>
          </wp:inline>
        </w:drawing>
      </w:r>
    </w:p>
    <w:p w:rsidR="00866576" w:rsidRPr="00A33EB4" w:rsidRDefault="00866576" w:rsidP="00A33EB4">
      <w:r>
        <w:t>Alternatively, you can download the tool using the Git application if you’re familiar with it.</w:t>
      </w:r>
    </w:p>
    <w:p w:rsidR="00DC0AAD" w:rsidRDefault="00DC0AAD" w:rsidP="00883B8A">
      <w:pPr>
        <w:pStyle w:val="Heading2"/>
      </w:pPr>
      <w:r>
        <w:br w:type="page"/>
      </w:r>
    </w:p>
    <w:p w:rsidR="00774DB1" w:rsidRDefault="00774DB1" w:rsidP="0054340F">
      <w:pPr>
        <w:pStyle w:val="Heading3"/>
      </w:pPr>
      <w:r>
        <w:lastRenderedPageBreak/>
        <w:t>Configure R and Java</w:t>
      </w:r>
    </w:p>
    <w:p w:rsidR="00774DB1" w:rsidRDefault="00774DB1" w:rsidP="00774DB1">
      <w:r>
        <w:t xml:space="preserve">In order to run these scripts, you will need R (with necessary packages installed) and 64-bit Java.  Talk to NWW personnel (Ross Wickham or Jon Roberts) if you need </w:t>
      </w:r>
      <w:r w:rsidR="00C60768">
        <w:t>versions</w:t>
      </w:r>
      <w:r>
        <w:t xml:space="preserve"> of R </w:t>
      </w:r>
      <w:r w:rsidR="003B4CB2">
        <w:t>and/</w:t>
      </w:r>
      <w:r>
        <w:t>or Java.</w:t>
      </w:r>
      <w:r w:rsidR="002B7856">
        <w:t xml:space="preserve">  Within the cwms_esp tool’s main directory, there is a</w:t>
      </w:r>
      <w:r w:rsidR="0036077A">
        <w:t>n</w:t>
      </w:r>
      <w:r w:rsidR="002B7856">
        <w:t xml:space="preserve"> ‘</w:t>
      </w:r>
      <w:r w:rsidR="00A5260A" w:rsidRPr="00A5260A">
        <w:t>r_java_esp_config.bat</w:t>
      </w:r>
      <w:r w:rsidR="00A5260A">
        <w:t xml:space="preserve">’ </w:t>
      </w:r>
      <w:r w:rsidR="002B7856">
        <w:t>f</w:t>
      </w:r>
      <w:r w:rsidR="0036077A">
        <w:t>ile</w:t>
      </w:r>
      <w:r w:rsidR="002B7856">
        <w:t xml:space="preserve"> that contains the information needed </w:t>
      </w:r>
      <w:r w:rsidR="008F5872">
        <w:t>to configure the executable locations of R and Java.</w:t>
      </w:r>
    </w:p>
    <w:p w:rsidR="00C3686E" w:rsidRDefault="00C3686E" w:rsidP="00774DB1">
      <w:r w:rsidRPr="00C3686E">
        <w:rPr>
          <w:noProof/>
        </w:rPr>
        <w:drawing>
          <wp:inline distT="0" distB="0" distL="0" distR="0" wp14:anchorId="302413F1" wp14:editId="66E85263">
            <wp:extent cx="3555187" cy="2535535"/>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71157" cy="2546925"/>
                    </a:xfrm>
                    <a:prstGeom prst="rect">
                      <a:avLst/>
                    </a:prstGeom>
                  </pic:spPr>
                </pic:pic>
              </a:graphicData>
            </a:graphic>
          </wp:inline>
        </w:drawing>
      </w:r>
    </w:p>
    <w:p w:rsidR="008F5872" w:rsidRDefault="00F46433" w:rsidP="00774DB1">
      <w:r>
        <w:t xml:space="preserve">Right click the file and click ‘Edit’.  </w:t>
      </w:r>
      <w:r w:rsidR="008F5872">
        <w:t>The lines beginning with ‘set’ establish the ‘</w:t>
      </w:r>
      <w:r w:rsidR="008F5872" w:rsidRPr="008F5872">
        <w:t>rExecutablePath</w:t>
      </w:r>
      <w:r w:rsidR="008F5872">
        <w:t>’ and ‘</w:t>
      </w:r>
      <w:r w:rsidR="008F5872" w:rsidRPr="008F5872">
        <w:t>baseJavaDir</w:t>
      </w:r>
      <w:r w:rsidR="008F5872">
        <w:t>’ variables</w:t>
      </w:r>
      <w:r w:rsidR="00470A5D">
        <w:t xml:space="preserve">.  </w:t>
      </w:r>
      <w:r w:rsidR="00775D57">
        <w:t>Point these to the fully qualified paths for the Rscript.exe and base Java directories</w:t>
      </w:r>
      <w:r w:rsidR="00F75100">
        <w:t>, respectively,</w:t>
      </w:r>
      <w:r w:rsidR="00775D57">
        <w:t xml:space="preserve"> as shown below</w:t>
      </w:r>
      <w:r w:rsidR="009E3777">
        <w:t xml:space="preserve">.  </w:t>
      </w:r>
      <w:r w:rsidR="00CA1C69">
        <w:t>Quotes are needed for directory paths with spaces.</w:t>
      </w:r>
      <w:r w:rsidR="00775D57">
        <w:t xml:space="preserve">  </w:t>
      </w:r>
      <w:r w:rsidR="00470A5D">
        <w:t>Lines that begin with ‘rem’ are comment lines</w:t>
      </w:r>
      <w:r w:rsidR="00775D57">
        <w:t xml:space="preserve"> (remarks)</w:t>
      </w:r>
      <w:r w:rsidR="00470A5D">
        <w:t xml:space="preserve">.  Note that some </w:t>
      </w:r>
      <w:r w:rsidR="00DC7C5C">
        <w:t>‘</w:t>
      </w:r>
      <w:r w:rsidR="00470A5D">
        <w:t>set</w:t>
      </w:r>
      <w:r w:rsidR="00DC7C5C">
        <w:t>’</w:t>
      </w:r>
      <w:r w:rsidR="00470A5D">
        <w:t xml:space="preserve"> lines are commented out </w:t>
      </w:r>
      <w:r w:rsidR="00775D57">
        <w:t>from R installations used during</w:t>
      </w:r>
      <w:r w:rsidR="00470A5D">
        <w:t xml:space="preserve"> testing</w:t>
      </w:r>
      <w:r>
        <w:t>:</w:t>
      </w:r>
    </w:p>
    <w:p w:rsidR="008F5872" w:rsidRDefault="008F5872" w:rsidP="00774DB1">
      <w:r w:rsidRPr="008F5872">
        <w:rPr>
          <w:noProof/>
        </w:rPr>
        <w:drawing>
          <wp:inline distT="0" distB="0" distL="0" distR="0" wp14:anchorId="615EA47B" wp14:editId="35070662">
            <wp:extent cx="5943600" cy="209621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28423"/>
                    <a:stretch/>
                  </pic:blipFill>
                  <pic:spPr bwMode="auto">
                    <a:xfrm>
                      <a:off x="0" y="0"/>
                      <a:ext cx="5943600" cy="2096219"/>
                    </a:xfrm>
                    <a:prstGeom prst="rect">
                      <a:avLst/>
                    </a:prstGeom>
                    <a:ln>
                      <a:noFill/>
                    </a:ln>
                    <a:extLst>
                      <a:ext uri="{53640926-AAD7-44D8-BBD7-CCE9431645EC}">
                        <a14:shadowObscured xmlns:a14="http://schemas.microsoft.com/office/drawing/2010/main"/>
                      </a:ext>
                    </a:extLst>
                  </pic:spPr>
                </pic:pic>
              </a:graphicData>
            </a:graphic>
          </wp:inline>
        </w:drawing>
      </w:r>
    </w:p>
    <w:p w:rsidR="00823540" w:rsidRDefault="00823540" w:rsidP="00774DB1">
      <w:r>
        <w:t>This script is called by the ‘</w:t>
      </w:r>
      <w:r w:rsidRPr="00823540">
        <w:t>run_cwms_esp.bat</w:t>
      </w:r>
      <w:r>
        <w:t>’ script and the ‘</w:t>
      </w:r>
      <w:r w:rsidRPr="00823540">
        <w:t>Download_ESP.bat</w:t>
      </w:r>
      <w:r>
        <w:t>’.</w:t>
      </w:r>
      <w:r w:rsidR="00FE095A">
        <w:t xml:space="preserve">  It is advantageous to point to R and Java installations on a server that can be </w:t>
      </w:r>
      <w:r w:rsidR="00BF56C0">
        <w:t xml:space="preserve">easily </w:t>
      </w:r>
      <w:r w:rsidR="00FE095A">
        <w:t>reached by other computers in the office to make the tool more portable.</w:t>
      </w:r>
    </w:p>
    <w:p w:rsidR="00DC0AAD" w:rsidRDefault="00DC0AAD" w:rsidP="00DC0AAD"/>
    <w:p w:rsidR="00DC0AAD" w:rsidRPr="00DC0AAD" w:rsidRDefault="00DC0AAD" w:rsidP="00DC0AAD">
      <w:pPr>
        <w:sectPr w:rsidR="00DC0AAD" w:rsidRPr="00DC0AAD">
          <w:footerReference w:type="default" r:id="rId13"/>
          <w:pgSz w:w="12240" w:h="15840"/>
          <w:pgMar w:top="1440" w:right="1440" w:bottom="1440" w:left="1440" w:header="720" w:footer="720" w:gutter="0"/>
          <w:cols w:space="720"/>
          <w:docGrid w:linePitch="360"/>
        </w:sectPr>
      </w:pPr>
    </w:p>
    <w:p w:rsidR="005355D9" w:rsidRDefault="00B014D7" w:rsidP="0054340F">
      <w:pPr>
        <w:pStyle w:val="Heading3"/>
      </w:pPr>
      <w:r>
        <w:lastRenderedPageBreak/>
        <w:t xml:space="preserve">Copy </w:t>
      </w:r>
      <w:r w:rsidR="00883B8A">
        <w:t>Scripts and Configurations</w:t>
      </w:r>
      <w:r w:rsidR="0054340F">
        <w:t xml:space="preserve"> into CWMS Watershed</w:t>
      </w:r>
    </w:p>
    <w:p w:rsidR="006F3FB2" w:rsidRDefault="00A432AD" w:rsidP="006F3FB2">
      <w:r>
        <w:t xml:space="preserve">Copy </w:t>
      </w:r>
      <w:r w:rsidR="00B12C3C">
        <w:t xml:space="preserve">(be sure to copy-paste, not drag and drop) </w:t>
      </w:r>
      <w:bookmarkStart w:id="0" w:name="_GoBack"/>
      <w:bookmarkEnd w:id="0"/>
      <w:r w:rsidR="00BF3F82">
        <w:t>the ‘scripts’ and ‘shared’ folders</w:t>
      </w:r>
      <w:r>
        <w:t xml:space="preserve"> from “</w:t>
      </w:r>
      <w:r w:rsidR="00BF3F82">
        <w:t>../cwms_esp/</w:t>
      </w:r>
      <w:r>
        <w:t>for_cwms_watershed” folder into your CWMS watershed’s base directory:</w:t>
      </w:r>
    </w:p>
    <w:p w:rsidR="00A432AD" w:rsidRDefault="00BF3F82" w:rsidP="006F3FB2">
      <w:r>
        <w:rPr>
          <w:noProof/>
        </w:rPr>
        <mc:AlternateContent>
          <mc:Choice Requires="wps">
            <w:drawing>
              <wp:anchor distT="0" distB="0" distL="114300" distR="114300" simplePos="0" relativeHeight="251659264" behindDoc="0" locked="0" layoutInCell="1" allowOverlap="1">
                <wp:simplePos x="0" y="0"/>
                <wp:positionH relativeFrom="column">
                  <wp:posOffset>2048493</wp:posOffset>
                </wp:positionH>
                <wp:positionV relativeFrom="paragraph">
                  <wp:posOffset>1092661</wp:posOffset>
                </wp:positionV>
                <wp:extent cx="3978233" cy="1876301"/>
                <wp:effectExtent l="19050" t="38100" r="41910" b="48260"/>
                <wp:wrapNone/>
                <wp:docPr id="9" name="Straight Arrow Connector 9"/>
                <wp:cNvGraphicFramePr/>
                <a:graphic xmlns:a="http://schemas.openxmlformats.org/drawingml/2006/main">
                  <a:graphicData uri="http://schemas.microsoft.com/office/word/2010/wordprocessingShape">
                    <wps:wsp>
                      <wps:cNvCnPr/>
                      <wps:spPr>
                        <a:xfrm>
                          <a:off x="0" y="0"/>
                          <a:ext cx="3978233" cy="1876301"/>
                        </a:xfrm>
                        <a:prstGeom prst="straightConnector1">
                          <a:avLst/>
                        </a:prstGeom>
                        <a:ln w="762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C8D0681" id="_x0000_t32" coordsize="21600,21600" o:spt="32" o:oned="t" path="m,l21600,21600e" filled="f">
                <v:path arrowok="t" fillok="f" o:connecttype="none"/>
                <o:lock v:ext="edit" shapetype="t"/>
              </v:shapetype>
              <v:shape id="Straight Arrow Connector 9" o:spid="_x0000_s1026" type="#_x0000_t32" style="position:absolute;margin-left:161.3pt;margin-top:86.05pt;width:313.25pt;height:147.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" strokecolor="red" strokeweight="6pt">
                <v:stroke endarrow="block" joinstyle="miter"/>
              </v:shape>
            </w:pict>
          </mc:Fallback>
        </mc:AlternateContent>
      </w:r>
      <w:r w:rsidRPr="00BF3F82">
        <w:rPr>
          <w:noProof/>
        </w:rPr>
        <w:drawing>
          <wp:inline distT="0" distB="0" distL="0" distR="0" wp14:anchorId="3C8653CF" wp14:editId="0E8A9D9E">
            <wp:extent cx="7806519" cy="4505614"/>
            <wp:effectExtent l="0" t="0" r="444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808818" cy="4506941"/>
                    </a:xfrm>
                    <a:prstGeom prst="rect">
                      <a:avLst/>
                    </a:prstGeom>
                  </pic:spPr>
                </pic:pic>
              </a:graphicData>
            </a:graphic>
          </wp:inline>
        </w:drawing>
      </w:r>
    </w:p>
    <w:p w:rsidR="00BF3F82" w:rsidRDefault="00BF3F82" w:rsidP="006F3FB2"/>
    <w:p w:rsidR="00BF3F82" w:rsidRDefault="00BF3F82" w:rsidP="006F3FB2">
      <w:pPr>
        <w:sectPr w:rsidR="00BF3F82" w:rsidSect="00BF3F82">
          <w:pgSz w:w="15840" w:h="12240" w:orient="landscape"/>
          <w:pgMar w:top="1440" w:right="1440" w:bottom="1440" w:left="1440" w:header="720" w:footer="720" w:gutter="0"/>
          <w:cols w:space="720"/>
          <w:docGrid w:linePitch="360"/>
        </w:sectPr>
      </w:pPr>
    </w:p>
    <w:p w:rsidR="00884496" w:rsidRDefault="001662FA" w:rsidP="00884496">
      <w:r>
        <w:lastRenderedPageBreak/>
        <w:t>Your base CWMS directory should now have the following folder configuration</w:t>
      </w:r>
      <w:r w:rsidR="009A0705">
        <w:t>.  In this example, there are additional folders in the scripts and shared directory</w:t>
      </w:r>
      <w:r>
        <w:t>:</w:t>
      </w:r>
    </w:p>
    <w:p w:rsidR="001662FA" w:rsidRDefault="00E76907" w:rsidP="00884496">
      <w:r w:rsidRPr="00E76907">
        <w:rPr>
          <w:noProof/>
        </w:rPr>
        <w:drawing>
          <wp:inline distT="0" distB="0" distL="0" distR="0">
            <wp:extent cx="5943600" cy="446152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461527"/>
                    </a:xfrm>
                    <a:prstGeom prst="rect">
                      <a:avLst/>
                    </a:prstGeom>
                    <a:noFill/>
                    <a:ln>
                      <a:noFill/>
                    </a:ln>
                  </pic:spPr>
                </pic:pic>
              </a:graphicData>
            </a:graphic>
          </wp:inline>
        </w:drawing>
      </w:r>
    </w:p>
    <w:p w:rsidR="002B337E" w:rsidRDefault="002B337E" w:rsidP="002B337E">
      <w:pPr>
        <w:pStyle w:val="Caption"/>
      </w:pPr>
      <w:r>
        <w:t xml:space="preserve">Figure </w:t>
      </w:r>
      <w:r w:rsidR="00D12B3A">
        <w:rPr>
          <w:noProof/>
        </w:rPr>
        <w:fldChar w:fldCharType="begin"/>
      </w:r>
      <w:r w:rsidR="00D12B3A">
        <w:rPr>
          <w:noProof/>
        </w:rPr>
        <w:instrText xml:space="preserve"> SEQ Figure \* ARABIC </w:instrText>
      </w:r>
      <w:r w:rsidR="00D12B3A">
        <w:rPr>
          <w:noProof/>
        </w:rPr>
        <w:fldChar w:fldCharType="separate"/>
      </w:r>
      <w:r w:rsidR="00462A73">
        <w:rPr>
          <w:noProof/>
        </w:rPr>
        <w:t>1</w:t>
      </w:r>
      <w:r w:rsidR="00D12B3A">
        <w:rPr>
          <w:noProof/>
        </w:rPr>
        <w:fldChar w:fldCharType="end"/>
      </w:r>
      <w:r>
        <w:t>. CWMS directory configured for ESP</w:t>
      </w:r>
    </w:p>
    <w:p w:rsidR="00884496" w:rsidRDefault="00884496" w:rsidP="00884496"/>
    <w:p w:rsidR="00F2367C" w:rsidRDefault="00F2367C" w:rsidP="00884496">
      <w:pPr>
        <w:pStyle w:val="Heading2"/>
        <w:sectPr w:rsidR="00F2367C">
          <w:pgSz w:w="12240" w:h="15840"/>
          <w:pgMar w:top="1440" w:right="1440" w:bottom="1440" w:left="1440" w:header="720" w:footer="720" w:gutter="0"/>
          <w:cols w:space="720"/>
          <w:docGrid w:linePitch="360"/>
        </w:sectPr>
      </w:pPr>
    </w:p>
    <w:p w:rsidR="00884496" w:rsidRDefault="00884496" w:rsidP="00884496">
      <w:pPr>
        <w:pStyle w:val="Heading2"/>
      </w:pPr>
      <w:r>
        <w:lastRenderedPageBreak/>
        <w:t>ESP Download Setup</w:t>
      </w:r>
    </w:p>
    <w:p w:rsidR="00884496" w:rsidRDefault="002F5C6B" w:rsidP="00884496">
      <w:r>
        <w:t>ESP traces are downloaded via the ‘scripts/</w:t>
      </w:r>
      <w:r w:rsidRPr="002F5C6B">
        <w:t>Download_ESP.py</w:t>
      </w:r>
      <w:r>
        <w:t xml:space="preserve">’ script.  </w:t>
      </w:r>
      <w:r w:rsidR="00132C24">
        <w:t>This script can be added to the CAVI</w:t>
      </w:r>
      <w:r w:rsidR="00E16774">
        <w:t xml:space="preserve"> to run via click of a button</w:t>
      </w:r>
      <w:r w:rsidR="0095161F">
        <w:t xml:space="preserve">.  </w:t>
      </w:r>
      <w:r>
        <w:t>It can also be run manually via the ‘scripts/</w:t>
      </w:r>
      <w:r w:rsidRPr="002F5C6B">
        <w:t>esp_download</w:t>
      </w:r>
      <w:r>
        <w:t>/</w:t>
      </w:r>
      <w:r w:rsidRPr="002F5C6B">
        <w:t>Download_ESP.bat</w:t>
      </w:r>
      <w:r>
        <w:t>’ file.  The script retrieves the RFC site IDs as defined in the ‘cwms_esp/config.xlsx’ ‘download_sites’ tab.</w:t>
      </w:r>
      <w:r w:rsidR="00F2367C">
        <w:t xml:space="preserve">  Note: the script matches the entered NWRFC IDs against those in the ‘scripts/esp_download/rfc_esp_links.xlsxm’ Excel file’s ‘</w:t>
      </w:r>
      <w:r w:rsidR="00F2367C" w:rsidRPr="00F2367C">
        <w:t>csvFileName</w:t>
      </w:r>
      <w:r w:rsidR="00F2367C">
        <w:t>’ column in the ‘natural’ tab using regular expressions.</w:t>
      </w:r>
      <w:r w:rsidR="008A044C">
        <w:t xml:space="preserve">  Instructions for finding the NWRFC IDs is shown below:</w:t>
      </w:r>
    </w:p>
    <w:p w:rsidR="00F2367C" w:rsidRDefault="0095161F" w:rsidP="00884496">
      <w:r w:rsidRPr="0095161F">
        <w:rPr>
          <w:noProof/>
        </w:rPr>
        <w:drawing>
          <wp:inline distT="0" distB="0" distL="0" distR="0">
            <wp:extent cx="8229600" cy="422981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229600" cy="4229811"/>
                    </a:xfrm>
                    <a:prstGeom prst="rect">
                      <a:avLst/>
                    </a:prstGeom>
                    <a:noFill/>
                    <a:ln>
                      <a:noFill/>
                    </a:ln>
                  </pic:spPr>
                </pic:pic>
              </a:graphicData>
            </a:graphic>
          </wp:inline>
        </w:drawing>
      </w:r>
    </w:p>
    <w:p w:rsidR="00884496" w:rsidRDefault="008C53B9" w:rsidP="001C4F42">
      <w:pPr>
        <w:pStyle w:val="Caption"/>
      </w:pPr>
      <w:r>
        <w:t xml:space="preserve">Figure </w:t>
      </w:r>
      <w:r w:rsidR="00D12B3A">
        <w:rPr>
          <w:noProof/>
        </w:rPr>
        <w:fldChar w:fldCharType="begin"/>
      </w:r>
      <w:r w:rsidR="00D12B3A">
        <w:rPr>
          <w:noProof/>
        </w:rPr>
        <w:instrText xml:space="preserve"> SEQ Figure \* ARABIC </w:instrText>
      </w:r>
      <w:r w:rsidR="00D12B3A">
        <w:rPr>
          <w:noProof/>
        </w:rPr>
        <w:fldChar w:fldCharType="separate"/>
      </w:r>
      <w:r w:rsidR="00462A73">
        <w:rPr>
          <w:noProof/>
        </w:rPr>
        <w:t>2</w:t>
      </w:r>
      <w:r w:rsidR="00D12B3A">
        <w:rPr>
          <w:noProof/>
        </w:rPr>
        <w:fldChar w:fldCharType="end"/>
      </w:r>
      <w:r>
        <w:t>. Finding NWRFC site IDs</w:t>
      </w:r>
    </w:p>
    <w:p w:rsidR="00F2367C" w:rsidRDefault="00F2367C" w:rsidP="00884496">
      <w:pPr>
        <w:sectPr w:rsidR="00F2367C" w:rsidSect="00F2367C">
          <w:pgSz w:w="15840" w:h="12240" w:orient="landscape"/>
          <w:pgMar w:top="1440" w:right="1440" w:bottom="1440" w:left="1440" w:header="720" w:footer="720" w:gutter="0"/>
          <w:cols w:space="720"/>
          <w:docGrid w:linePitch="360"/>
        </w:sectPr>
      </w:pPr>
    </w:p>
    <w:p w:rsidR="00473F03" w:rsidRDefault="00473F03" w:rsidP="00436D67">
      <w:pPr>
        <w:pStyle w:val="Heading1"/>
      </w:pPr>
      <w:r>
        <w:lastRenderedPageBreak/>
        <w:t>ESP Local Flow Computation and Configuration</w:t>
      </w:r>
    </w:p>
    <w:p w:rsidR="00473F03" w:rsidRDefault="00473F03" w:rsidP="00473F03">
      <w:r>
        <w:t xml:space="preserve">This section documents how the tables and configuration files used by the flow modifier (ESP local computation tool) are </w:t>
      </w:r>
      <w:r w:rsidR="00B73E13">
        <w:t>developed</w:t>
      </w:r>
      <w:r>
        <w:t xml:space="preserve">, and configured for use in the CAVI.  </w:t>
      </w:r>
    </w:p>
    <w:p w:rsidR="00473F03" w:rsidRDefault="00473F03" w:rsidP="00436D67">
      <w:pPr>
        <w:pStyle w:val="Heading2"/>
      </w:pPr>
      <w:r>
        <w:t>Overview</w:t>
      </w:r>
    </w:p>
    <w:p w:rsidR="00473F03" w:rsidRDefault="00473F03" w:rsidP="00473F03">
      <w:r>
        <w:t xml:space="preserve">To compute local inflows in an ESP analysis, two primary </w:t>
      </w:r>
      <w:r w:rsidR="00FC3797">
        <w:t>elements are needed:</w:t>
      </w:r>
    </w:p>
    <w:p w:rsidR="00FC3797" w:rsidRDefault="00FC3797" w:rsidP="00FC3797">
      <w:pPr>
        <w:pStyle w:val="ListParagraph"/>
        <w:numPr>
          <w:ilvl w:val="0"/>
          <w:numId w:val="2"/>
        </w:numPr>
      </w:pPr>
      <w:r>
        <w:t>Establish relationships for computing ESP locals</w:t>
      </w:r>
    </w:p>
    <w:p w:rsidR="00FC3797" w:rsidRPr="00473F03" w:rsidRDefault="00FC3797" w:rsidP="00FC3797">
      <w:pPr>
        <w:pStyle w:val="ListParagraph"/>
        <w:numPr>
          <w:ilvl w:val="0"/>
          <w:numId w:val="2"/>
        </w:numPr>
      </w:pPr>
      <w:r>
        <w:t>Develop routing parameters for reaches</w:t>
      </w:r>
    </w:p>
    <w:p w:rsidR="00473F03" w:rsidRDefault="00473F03" w:rsidP="00473F03">
      <w:r>
        <w:t>A local flow accounting is needed in the ESP analysis to accurately reproduce inflows that would otherwise be provided by HMS.  The need for local flow accounting is demonstrated in the following examples:</w:t>
      </w:r>
    </w:p>
    <w:p w:rsidR="00B60A3A" w:rsidRDefault="00473F03" w:rsidP="00473F03">
      <w:pPr>
        <w:pStyle w:val="Caption"/>
      </w:pPr>
      <w:r w:rsidRPr="003D311E">
        <w:rPr>
          <w:noProof/>
        </w:rPr>
        <w:drawing>
          <wp:inline distT="0" distB="0" distL="0" distR="0" wp14:anchorId="734B6B30" wp14:editId="2F5C0E78">
            <wp:extent cx="5943600" cy="263289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632899"/>
                    </a:xfrm>
                    <a:prstGeom prst="rect">
                      <a:avLst/>
                    </a:prstGeom>
                    <a:noFill/>
                    <a:ln>
                      <a:noFill/>
                    </a:ln>
                  </pic:spPr>
                </pic:pic>
              </a:graphicData>
            </a:graphic>
          </wp:inline>
        </w:drawing>
      </w:r>
    </w:p>
    <w:p w:rsidR="00473F03" w:rsidRDefault="00473F03" w:rsidP="00473F03">
      <w:pPr>
        <w:pStyle w:val="Caption"/>
      </w:pPr>
      <w:r>
        <w:br/>
      </w:r>
      <w:bookmarkStart w:id="1" w:name="_Ref23834879"/>
      <w:r>
        <w:t xml:space="preserve">Figure </w:t>
      </w:r>
      <w:r w:rsidR="00D12B3A">
        <w:rPr>
          <w:noProof/>
        </w:rPr>
        <w:fldChar w:fldCharType="begin"/>
      </w:r>
      <w:r w:rsidR="00D12B3A">
        <w:rPr>
          <w:noProof/>
        </w:rPr>
        <w:instrText xml:space="preserve"> SEQ Figure \* ARABIC </w:instrText>
      </w:r>
      <w:r w:rsidR="00D12B3A">
        <w:rPr>
          <w:noProof/>
        </w:rPr>
        <w:fldChar w:fldCharType="separate"/>
      </w:r>
      <w:r w:rsidR="00462A73">
        <w:rPr>
          <w:noProof/>
        </w:rPr>
        <w:t>3</w:t>
      </w:r>
      <w:r w:rsidR="00D12B3A">
        <w:rPr>
          <w:noProof/>
        </w:rPr>
        <w:fldChar w:fldCharType="end"/>
      </w:r>
      <w:bookmarkEnd w:id="1"/>
      <w:r>
        <w:t>. Computing locals where CCP not associated with an ESP forecast location</w:t>
      </w:r>
    </w:p>
    <w:p w:rsidR="00473F03" w:rsidRDefault="00473F03" w:rsidP="00473F03">
      <w:r>
        <w:t xml:space="preserve">The example shown above is from the Lower Snake CAVI model.  Here, </w:t>
      </w:r>
      <w:r w:rsidR="00E10BB2">
        <w:t>the local flow is needed for</w:t>
      </w:r>
      <w:r>
        <w:t xml:space="preserve"> the Clearwater at Spalding CCP.  HMS would typically provide this input in a standard CAVI compute, however there is currently no local flow data set for ESP traces.  So, local flows are computed as a difference between all upstream contributions in the ESP traces and the total flow at the downstream CCP.  In the example above, there is overlap between CCPs and ESP forecast locations at all but one of the CCPs: Lapwai Ck near Lapwai, shown with a shaded blue background. If flow contribution from this location can safely be ignored, then there is no need to attempt to account for inflow here.  However, if flow at the location is important, it should be estimated.  For the Lower Snake CAVI model, inflows at Lapwai were assumed to be correlated to flows at another nearby CCP</w:t>
      </w:r>
      <w:r w:rsidR="00E10BB2">
        <w:t>.</w:t>
      </w:r>
      <w:r>
        <w:t xml:space="preserve"> </w:t>
      </w:r>
      <w:r w:rsidR="00E10BB2">
        <w:t xml:space="preserve">A </w:t>
      </w:r>
      <w:r>
        <w:t xml:space="preserve">relationship was established using USGS gage data that Lapwai Ck inflows are 14% of flows from the Potlatch below Little Potlatch CCP (see Appendix A for details).  This relationship is provided to a flow modification </w:t>
      </w:r>
      <w:r w:rsidR="00B531FD">
        <w:t>tool</w:t>
      </w:r>
      <w:r>
        <w:t xml:space="preserve"> that multiplies the Potlatch flows by 0.14, and creates new ESP traces associated with new DSS path</w:t>
      </w:r>
      <w:r w:rsidR="00E10BB2">
        <w:t>s</w:t>
      </w:r>
      <w:r>
        <w:t xml:space="preserve"> that can be linked to inflows at Lapwai Ck.</w:t>
      </w:r>
      <w:r w:rsidR="009B3FDE">
        <w:t xml:space="preserve">  The final equation used to compute local inflows at Spalding, accounting for Lapwai inflows, is provided in </w:t>
      </w:r>
      <w:r w:rsidR="00BA7D17">
        <w:fldChar w:fldCharType="begin"/>
      </w:r>
      <w:r w:rsidR="00BA7D17">
        <w:instrText xml:space="preserve"> REF _Ref23834879 \h </w:instrText>
      </w:r>
      <w:r w:rsidR="00BA7D17">
        <w:fldChar w:fldCharType="separate"/>
      </w:r>
      <w:r w:rsidR="00BA7D17">
        <w:t xml:space="preserve">Figure </w:t>
      </w:r>
      <w:r w:rsidR="00BA7D17">
        <w:rPr>
          <w:noProof/>
        </w:rPr>
        <w:t>3</w:t>
      </w:r>
      <w:r w:rsidR="00BA7D17">
        <w:fldChar w:fldCharType="end"/>
      </w:r>
      <w:r w:rsidR="00BA7D17">
        <w:t>.</w:t>
      </w:r>
    </w:p>
    <w:p w:rsidR="00473F03" w:rsidRDefault="00473F03" w:rsidP="00473F03">
      <w:r>
        <w:lastRenderedPageBreak/>
        <w:t>Another issue that can arise is the situation shown below, where ResSim doesn’t overlay reaches modeled by the RFC.  The ESP flow</w:t>
      </w:r>
      <w:r w:rsidR="005F47D3">
        <w:t>s</w:t>
      </w:r>
      <w:r>
        <w:t xml:space="preserve"> at Snake near Anatone account for inflows from the Grande Ronde at Troy (TRYO3), Salmon at Whitebird (WHBI1), and Imnaha at Imnaha (IMNO3) locations; none of which are in the ResSim model.  Instead, the ResSim model was developed with the intent that flows would be provided by HMS routed down to the CCPs on the Snake River.  The distance between the three ESP tributary locations and the mainstem river is far enough (up to 60 miles) that routing from the ESP locations to the Snake river can’t be ignored.  So, the best option </w:t>
      </w:r>
      <w:r w:rsidR="00BA7D17">
        <w:t xml:space="preserve">to compute local flows at Anatone </w:t>
      </w:r>
      <w:r>
        <w:t>is to lump inflows from TRYO3, IMNO3, and WHBI3 and compute local inflows at ANAW1 as a difference between ANAW1 and the routed flows from Hell’s Canyon</w:t>
      </w:r>
      <w:r w:rsidR="00160ED1">
        <w:t xml:space="preserve"> (</w:t>
      </w:r>
      <w:r w:rsidR="00160ED1">
        <w:fldChar w:fldCharType="begin"/>
      </w:r>
      <w:r w:rsidR="00160ED1">
        <w:instrText xml:space="preserve"> REF _Ref23835000 \h </w:instrText>
      </w:r>
      <w:r w:rsidR="00160ED1">
        <w:fldChar w:fldCharType="separate"/>
      </w:r>
      <w:r w:rsidR="00160ED1">
        <w:t xml:space="preserve">Figure </w:t>
      </w:r>
      <w:r w:rsidR="00160ED1">
        <w:rPr>
          <w:noProof/>
        </w:rPr>
        <w:t>4</w:t>
      </w:r>
      <w:r w:rsidR="00160ED1">
        <w:fldChar w:fldCharType="end"/>
      </w:r>
      <w:r w:rsidR="00160ED1">
        <w:t>)</w:t>
      </w:r>
      <w:r>
        <w:t>.</w:t>
      </w:r>
    </w:p>
    <w:p w:rsidR="00473F03" w:rsidRDefault="005F47D3" w:rsidP="00473F03">
      <w:r w:rsidRPr="005F47D3">
        <w:rPr>
          <w:noProof/>
        </w:rPr>
        <w:drawing>
          <wp:inline distT="0" distB="0" distL="0" distR="0">
            <wp:extent cx="5943600" cy="260841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608415"/>
                    </a:xfrm>
                    <a:prstGeom prst="rect">
                      <a:avLst/>
                    </a:prstGeom>
                    <a:noFill/>
                    <a:ln>
                      <a:noFill/>
                    </a:ln>
                  </pic:spPr>
                </pic:pic>
              </a:graphicData>
            </a:graphic>
          </wp:inline>
        </w:drawing>
      </w:r>
    </w:p>
    <w:p w:rsidR="00473F03" w:rsidRDefault="00473F03" w:rsidP="00F84EB3">
      <w:pPr>
        <w:pStyle w:val="Caption"/>
      </w:pPr>
      <w:bookmarkStart w:id="2" w:name="_Ref23835000"/>
      <w:r>
        <w:t xml:space="preserve">Figure </w:t>
      </w:r>
      <w:r w:rsidR="00D12B3A">
        <w:rPr>
          <w:noProof/>
        </w:rPr>
        <w:fldChar w:fldCharType="begin"/>
      </w:r>
      <w:r w:rsidR="00D12B3A">
        <w:rPr>
          <w:noProof/>
        </w:rPr>
        <w:instrText xml:space="preserve"> SEQ Figure \* ARABIC </w:instrText>
      </w:r>
      <w:r w:rsidR="00D12B3A">
        <w:rPr>
          <w:noProof/>
        </w:rPr>
        <w:fldChar w:fldCharType="separate"/>
      </w:r>
      <w:r w:rsidR="00462A73">
        <w:rPr>
          <w:noProof/>
        </w:rPr>
        <w:t>4</w:t>
      </w:r>
      <w:r w:rsidR="00D12B3A">
        <w:rPr>
          <w:noProof/>
        </w:rPr>
        <w:fldChar w:fldCharType="end"/>
      </w:r>
      <w:bookmarkEnd w:id="2"/>
      <w:r>
        <w:t>. Computing locals where ESP forecast location</w:t>
      </w:r>
      <w:r w:rsidR="00A410F3">
        <w:t>s</w:t>
      </w:r>
      <w:r>
        <w:t xml:space="preserve"> </w:t>
      </w:r>
      <w:r w:rsidR="00A410F3">
        <w:t xml:space="preserve">don’t </w:t>
      </w:r>
      <w:r>
        <w:t>overlapped with ResSim CCPs</w:t>
      </w:r>
    </w:p>
    <w:p w:rsidR="00473F03" w:rsidRDefault="00473F03" w:rsidP="00473F03">
      <w:r>
        <w:t>In addition to going through the exercise of esta</w:t>
      </w:r>
      <w:r w:rsidR="007028D4">
        <w:t>blishing the</w:t>
      </w:r>
      <w:r>
        <w:t xml:space="preserve"> relationships</w:t>
      </w:r>
      <w:r w:rsidR="007028D4">
        <w:t xml:space="preserve"> for computing local ESP inflows</w:t>
      </w:r>
      <w:r>
        <w:t xml:space="preserve">, the routing to </w:t>
      </w:r>
      <w:r w:rsidR="00FC28DA">
        <w:t xml:space="preserve">parameters </w:t>
      </w:r>
      <w:r>
        <w:t>needs to be developed</w:t>
      </w:r>
      <w:r w:rsidR="00FC28DA">
        <w:t xml:space="preserve"> and configured for the flow modifier tool</w:t>
      </w:r>
      <w:r w:rsidR="00A410F3">
        <w:t xml:space="preserve">, as documented in the </w:t>
      </w:r>
      <w:r w:rsidR="00D01BD9">
        <w:t>“</w:t>
      </w:r>
      <w:r w:rsidR="00A410F3">
        <w:fldChar w:fldCharType="begin"/>
      </w:r>
      <w:r w:rsidR="00A410F3">
        <w:instrText xml:space="preserve"> REF _Ref23772529 \h </w:instrText>
      </w:r>
      <w:r w:rsidR="00A410F3">
        <w:fldChar w:fldCharType="separate"/>
      </w:r>
      <w:r w:rsidR="00A410F3">
        <w:t>Reach Routing, ModPuls Tables in DSS File</w:t>
      </w:r>
      <w:r w:rsidR="00A410F3">
        <w:fldChar w:fldCharType="end"/>
      </w:r>
      <w:r w:rsidR="00D01BD9">
        <w:t>”</w:t>
      </w:r>
      <w:r w:rsidR="00A410F3">
        <w:t xml:space="preserve"> section</w:t>
      </w:r>
      <w:r>
        <w:t>.</w:t>
      </w:r>
    </w:p>
    <w:p w:rsidR="00724871" w:rsidRPr="004E01E8" w:rsidRDefault="00724871" w:rsidP="00724871">
      <w:pPr>
        <w:pStyle w:val="Heading2"/>
      </w:pPr>
      <w:r>
        <w:t>Tool Basics</w:t>
      </w:r>
    </w:p>
    <w:p w:rsidR="00473F03" w:rsidRDefault="00C357D1" w:rsidP="00473F03">
      <w:r>
        <w:t>If ModPuls routing is being used, t</w:t>
      </w:r>
      <w:r w:rsidR="00473F03">
        <w:t>hree files are necessary to the run the flow modification script</w:t>
      </w:r>
      <w:r>
        <w:t xml:space="preserve">. </w:t>
      </w:r>
      <w:r w:rsidR="00473F03">
        <w:t xml:space="preserve"> </w:t>
      </w:r>
      <w:r>
        <w:t>A</w:t>
      </w:r>
      <w:r w:rsidR="00473F03">
        <w:t xml:space="preserve">ll of </w:t>
      </w:r>
      <w:r>
        <w:t xml:space="preserve">the files </w:t>
      </w:r>
      <w:r w:rsidR="00473F03">
        <w:t xml:space="preserve">should be located in the </w:t>
      </w:r>
      <w:r w:rsidR="0039540E">
        <w:t>“</w:t>
      </w:r>
      <w:r w:rsidR="00473F03">
        <w:t>…/shared/flow_modifier</w:t>
      </w:r>
      <w:r w:rsidR="0039540E">
        <w:t>”</w:t>
      </w:r>
      <w:r w:rsidR="00473F03">
        <w:t xml:space="preserve"> directory in the </w:t>
      </w:r>
      <w:r>
        <w:t xml:space="preserve">CWMS </w:t>
      </w:r>
      <w:r w:rsidR="00160ED1">
        <w:t>watershed:</w:t>
      </w:r>
    </w:p>
    <w:p w:rsidR="00082F08" w:rsidRDefault="008A15A6" w:rsidP="00473F03">
      <w:r w:rsidRPr="008A15A6">
        <w:rPr>
          <w:noProof/>
        </w:rPr>
        <w:drawing>
          <wp:inline distT="0" distB="0" distL="0" distR="0" wp14:anchorId="0070430E" wp14:editId="6ACF149E">
            <wp:extent cx="4892040" cy="1528877"/>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3092" b="16395"/>
                    <a:stretch/>
                  </pic:blipFill>
                  <pic:spPr bwMode="auto">
                    <a:xfrm>
                      <a:off x="0" y="0"/>
                      <a:ext cx="4892979" cy="1529170"/>
                    </a:xfrm>
                    <a:prstGeom prst="rect">
                      <a:avLst/>
                    </a:prstGeom>
                    <a:ln>
                      <a:noFill/>
                    </a:ln>
                    <a:extLst>
                      <a:ext uri="{53640926-AAD7-44D8-BBD7-CCE9431645EC}">
                        <a14:shadowObscured xmlns:a14="http://schemas.microsoft.com/office/drawing/2010/main"/>
                      </a:ext>
                    </a:extLst>
                  </pic:spPr>
                </pic:pic>
              </a:graphicData>
            </a:graphic>
          </wp:inline>
        </w:drawing>
      </w:r>
    </w:p>
    <w:p w:rsidR="00B95C3D" w:rsidRDefault="00B95C3D" w:rsidP="00B95C3D">
      <w:pPr>
        <w:pStyle w:val="Caption"/>
      </w:pPr>
      <w:bookmarkStart w:id="3" w:name="_Ref23842376"/>
      <w:r>
        <w:t xml:space="preserve">Figure </w:t>
      </w:r>
      <w:fldSimple w:instr=" SEQ Figure \* ARABIC ">
        <w:r w:rsidR="00462A73">
          <w:rPr>
            <w:noProof/>
          </w:rPr>
          <w:t>5</w:t>
        </w:r>
      </w:fldSimple>
      <w:bookmarkEnd w:id="3"/>
      <w:r>
        <w:t>. Example flow_modifier folder</w:t>
      </w:r>
    </w:p>
    <w:p w:rsidR="00E95743" w:rsidRDefault="00E95743" w:rsidP="00473F03">
      <w:r>
        <w:lastRenderedPageBreak/>
        <w:t>The flow equation (“</w:t>
      </w:r>
      <w:r w:rsidRPr="00E95743">
        <w:t>flow_eqn_config</w:t>
      </w:r>
      <w:r w:rsidR="00584ACD">
        <w:t>_</w:t>
      </w:r>
      <w:r>
        <w:t xml:space="preserve">*.csv”) file establishes the input </w:t>
      </w:r>
      <w:r w:rsidR="00160ED1">
        <w:t>DSS paths,</w:t>
      </w:r>
      <w:r>
        <w:t xml:space="preserve"> output DSS paths, and the equations needed to </w:t>
      </w:r>
      <w:r w:rsidR="00160ED1">
        <w:t>compute</w:t>
      </w:r>
      <w:r>
        <w:t xml:space="preserve"> </w:t>
      </w:r>
      <w:r w:rsidR="00160ED1">
        <w:t>boundary condition flows and local inflows</w:t>
      </w:r>
      <w:r>
        <w:t>.  The Mod Puls configuration file (“</w:t>
      </w:r>
      <w:r w:rsidRPr="00E95743">
        <w:t>mod_puls_config_</w:t>
      </w:r>
      <w:r>
        <w:t>*</w:t>
      </w:r>
      <w:r w:rsidRPr="00E95743">
        <w:t>.csv</w:t>
      </w:r>
      <w:r>
        <w:t>”) links name</w:t>
      </w:r>
      <w:r w:rsidR="009344F5">
        <w:t>d</w:t>
      </w:r>
      <w:r>
        <w:t xml:space="preserve"> DSS tables from the Mod Puls DSS </w:t>
      </w:r>
      <w:r w:rsidR="009344F5">
        <w:t>(</w:t>
      </w:r>
      <w:r w:rsidR="00735191">
        <w:t>“</w:t>
      </w:r>
      <w:r w:rsidR="009344F5" w:rsidRPr="009344F5">
        <w:t>mod_puls_tables_</w:t>
      </w:r>
      <w:r w:rsidR="009344F5">
        <w:t>*</w:t>
      </w:r>
      <w:r w:rsidR="009344F5" w:rsidRPr="009344F5">
        <w:t>.dss</w:t>
      </w:r>
      <w:r w:rsidR="00735191">
        <w:t>”</w:t>
      </w:r>
      <w:r w:rsidR="009344F5">
        <w:t xml:space="preserve">) </w:t>
      </w:r>
      <w:r>
        <w:t>to a simpli</w:t>
      </w:r>
      <w:r w:rsidR="00D93C07">
        <w:t>fi</w:t>
      </w:r>
      <w:r>
        <w:t xml:space="preserve">ed table name, and the number of subreaches parameter needed for </w:t>
      </w:r>
      <w:r w:rsidR="00965F65">
        <w:t xml:space="preserve">Mod Puls </w:t>
      </w:r>
      <w:r w:rsidR="00D24DAA">
        <w:t>routing</w:t>
      </w:r>
      <w:r>
        <w:t xml:space="preserve">. </w:t>
      </w:r>
      <w:r w:rsidR="008A7F73">
        <w:t xml:space="preserve">In the example above, the “lsr_fullrouting” is </w:t>
      </w:r>
      <w:r w:rsidR="00904116">
        <w:t xml:space="preserve">unique to this watershed, and is </w:t>
      </w:r>
      <w:r w:rsidR="008A7F73">
        <w:t xml:space="preserve">needed in each file name to specify that these files define a set of routing equations and tables.  </w:t>
      </w:r>
    </w:p>
    <w:p w:rsidR="00724871" w:rsidRPr="004E01E8" w:rsidRDefault="00724871" w:rsidP="00724871">
      <w:pPr>
        <w:pStyle w:val="Heading2"/>
      </w:pPr>
      <w:r>
        <w:t>Local Flow Computation in CSV File</w:t>
      </w:r>
    </w:p>
    <w:p w:rsidR="00724871" w:rsidRDefault="00724871" w:rsidP="00724871">
      <w:r>
        <w:t xml:space="preserve">This section describes how the flow modifier </w:t>
      </w:r>
      <w:r w:rsidR="00050EF7">
        <w:t>creates boundary condition flows and local inflows</w:t>
      </w:r>
      <w:r>
        <w:t xml:space="preserve"> used in the ESP simulations.  </w:t>
      </w:r>
      <w:r w:rsidR="003B157B">
        <w:t>The flow modifier computes after ESP data have been downloaded</w:t>
      </w:r>
      <w:r w:rsidR="00A3059A">
        <w:t xml:space="preserve"> and prior to the CAVI compute.  </w:t>
      </w:r>
      <w:r w:rsidR="001C4F42">
        <w:t xml:space="preserve">The </w:t>
      </w:r>
    </w:p>
    <w:p w:rsidR="007C0E2D" w:rsidRDefault="007C0E2D" w:rsidP="00724871"/>
    <w:p w:rsidR="00A3059A" w:rsidRDefault="00A3059A" w:rsidP="00724871"/>
    <w:p w:rsidR="00A3059A" w:rsidRDefault="00A3059A" w:rsidP="00724871">
      <w:pPr>
        <w:sectPr w:rsidR="00A3059A">
          <w:pgSz w:w="12240" w:h="15840"/>
          <w:pgMar w:top="1440" w:right="1440" w:bottom="1440" w:left="1440" w:header="720" w:footer="720" w:gutter="0"/>
          <w:cols w:space="720"/>
          <w:docGrid w:linePitch="360"/>
        </w:sectPr>
      </w:pPr>
    </w:p>
    <w:p w:rsidR="00B93721" w:rsidRDefault="00B93721" w:rsidP="00B93721">
      <w:pPr>
        <w:pStyle w:val="Caption"/>
      </w:pPr>
      <w:r>
        <w:lastRenderedPageBreak/>
        <w:t xml:space="preserve">Table </w:t>
      </w:r>
      <w:fldSimple w:instr=" SEQ Table \* ARABIC ">
        <w:r>
          <w:rPr>
            <w:noProof/>
          </w:rPr>
          <w:t>1</w:t>
        </w:r>
      </w:fldSimple>
      <w:r>
        <w:t>. Column descriptions in the flow_eqn_config csv file</w:t>
      </w:r>
    </w:p>
    <w:p w:rsidR="007C0E2D" w:rsidRDefault="007C0E2D" w:rsidP="00724871">
      <w:r w:rsidRPr="007C0E2D">
        <w:drawing>
          <wp:inline distT="0" distB="0" distL="0" distR="0">
            <wp:extent cx="8229600" cy="40012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229600" cy="4001280"/>
                    </a:xfrm>
                    <a:prstGeom prst="rect">
                      <a:avLst/>
                    </a:prstGeom>
                    <a:noFill/>
                    <a:ln>
                      <a:noFill/>
                    </a:ln>
                  </pic:spPr>
                </pic:pic>
              </a:graphicData>
            </a:graphic>
          </wp:inline>
        </w:drawing>
      </w:r>
    </w:p>
    <w:p w:rsidR="007C0E2D" w:rsidRDefault="007C0E2D" w:rsidP="00724871"/>
    <w:p w:rsidR="007C0E2D" w:rsidRDefault="007C0E2D" w:rsidP="00724871">
      <w:pPr>
        <w:sectPr w:rsidR="007C0E2D" w:rsidSect="007C0E2D">
          <w:pgSz w:w="15840" w:h="12240" w:orient="landscape"/>
          <w:pgMar w:top="1440" w:right="1440" w:bottom="1440" w:left="1440" w:header="720" w:footer="720" w:gutter="0"/>
          <w:cols w:space="720"/>
          <w:docGrid w:linePitch="360"/>
        </w:sectPr>
      </w:pPr>
    </w:p>
    <w:p w:rsidR="007C0E2D" w:rsidRPr="005355D9" w:rsidRDefault="007C0E2D" w:rsidP="00724871"/>
    <w:p w:rsidR="00E45810" w:rsidRDefault="00E45810" w:rsidP="00436D67">
      <w:pPr>
        <w:pStyle w:val="Heading2"/>
      </w:pPr>
      <w:bookmarkStart w:id="4" w:name="_Ref23772529"/>
      <w:r>
        <w:t>Reach Routing, ModPuls Tables in DSS File</w:t>
      </w:r>
      <w:bookmarkEnd w:id="4"/>
    </w:p>
    <w:p w:rsidR="00E45810" w:rsidRDefault="00E45810" w:rsidP="00E45810">
      <w:r>
        <w:t>Because Mod</w:t>
      </w:r>
      <w:r w:rsidR="008B619C">
        <w:t xml:space="preserve"> </w:t>
      </w:r>
      <w:r>
        <w:t>Puls routing is the standard for the MMC, it is assumed that you will have ModPuls tables available.  However, routing can easily be done with a lag method too</w:t>
      </w:r>
      <w:r w:rsidR="008213E2">
        <w:t>, or ignored for a small enough reach</w:t>
      </w:r>
      <w:r>
        <w:t>.</w:t>
      </w:r>
    </w:p>
    <w:p w:rsidR="00E45810" w:rsidRDefault="00E45810" w:rsidP="00E45810">
      <w:r>
        <w:t xml:space="preserve">The Mod Puls data </w:t>
      </w:r>
      <w:r w:rsidR="001C4F42">
        <w:t>can be</w:t>
      </w:r>
      <w:r>
        <w:t xml:space="preserve"> </w:t>
      </w:r>
      <w:r w:rsidR="001C4F42">
        <w:t xml:space="preserve">created </w:t>
      </w:r>
      <w:r>
        <w:t xml:space="preserve">via RAS analysis, using the </w:t>
      </w:r>
      <w:r w:rsidR="00592F54">
        <w:t>“Export to HEC-DSS”</w:t>
      </w:r>
      <w:r>
        <w:t xml:space="preserve"> features.  If you’re modifying an already completed CAVI model, it is likely that these tables already exist, but may need to be entered into </w:t>
      </w:r>
      <w:r w:rsidR="00592F54">
        <w:t>DSS</w:t>
      </w:r>
      <w:r>
        <w:t>.</w:t>
      </w:r>
      <w:r w:rsidR="00493341">
        <w:t xml:space="preserve">  By default, these tables are extracted from RAS </w:t>
      </w:r>
      <w:r w:rsidR="00874A5A">
        <w:t>in</w:t>
      </w:r>
      <w:r w:rsidR="00493341">
        <w:t xml:space="preserve"> DSS </w:t>
      </w:r>
      <w:r w:rsidR="00874A5A">
        <w:t>format</w:t>
      </w:r>
      <w:r w:rsidR="00493341">
        <w:t>.</w:t>
      </w:r>
    </w:p>
    <w:p w:rsidR="001C4F42" w:rsidRDefault="001C4F42" w:rsidP="001C4F42">
      <w:r>
        <w:t>Example:</w:t>
      </w:r>
    </w:p>
    <w:tbl>
      <w:tblPr>
        <w:tblW w:w="9854" w:type="dxa"/>
        <w:tblLook w:val="04A0" w:firstRow="1" w:lastRow="0" w:firstColumn="1" w:lastColumn="0" w:noHBand="0" w:noVBand="1"/>
      </w:tblPr>
      <w:tblGrid>
        <w:gridCol w:w="2020"/>
        <w:gridCol w:w="6660"/>
        <w:gridCol w:w="1360"/>
      </w:tblGrid>
      <w:tr w:rsidR="001C4F42" w:rsidRPr="008D5CC7" w:rsidTr="00F121DB">
        <w:trPr>
          <w:trHeight w:val="300"/>
        </w:trPr>
        <w:tc>
          <w:tcPr>
            <w:tcW w:w="2020" w:type="dxa"/>
            <w:tcBorders>
              <w:top w:val="nil"/>
              <w:left w:val="nil"/>
              <w:bottom w:val="nil"/>
              <w:right w:val="nil"/>
            </w:tcBorders>
            <w:shd w:val="clear" w:color="auto" w:fill="auto"/>
            <w:noWrap/>
            <w:vAlign w:val="bottom"/>
            <w:hideMark/>
          </w:tcPr>
          <w:p w:rsidR="001C4F42" w:rsidRPr="008D5CC7" w:rsidRDefault="001C4F42" w:rsidP="00F121DB">
            <w:pPr>
              <w:spacing w:after="0" w:line="240" w:lineRule="auto"/>
              <w:rPr>
                <w:rFonts w:ascii="Calibri" w:eastAsia="Times New Roman" w:hAnsi="Calibri" w:cs="Calibri"/>
                <w:color w:val="000000"/>
              </w:rPr>
            </w:pPr>
            <w:r w:rsidRPr="008D5CC7">
              <w:rPr>
                <w:rFonts w:ascii="Calibri" w:eastAsia="Times New Roman" w:hAnsi="Calibri" w:cs="Calibri"/>
                <w:color w:val="000000"/>
              </w:rPr>
              <w:t>tblName</w:t>
            </w:r>
          </w:p>
        </w:tc>
        <w:tc>
          <w:tcPr>
            <w:tcW w:w="6660" w:type="dxa"/>
            <w:tcBorders>
              <w:top w:val="nil"/>
              <w:left w:val="nil"/>
              <w:bottom w:val="nil"/>
              <w:right w:val="nil"/>
            </w:tcBorders>
            <w:shd w:val="clear" w:color="auto" w:fill="auto"/>
            <w:noWrap/>
            <w:vAlign w:val="bottom"/>
            <w:hideMark/>
          </w:tcPr>
          <w:p w:rsidR="001C4F42" w:rsidRPr="008D5CC7" w:rsidRDefault="001C4F42" w:rsidP="00F121DB">
            <w:pPr>
              <w:spacing w:after="0" w:line="240" w:lineRule="auto"/>
              <w:rPr>
                <w:rFonts w:ascii="Calibri" w:eastAsia="Times New Roman" w:hAnsi="Calibri" w:cs="Calibri"/>
                <w:color w:val="000000"/>
              </w:rPr>
            </w:pPr>
            <w:r w:rsidRPr="008D5CC7">
              <w:rPr>
                <w:rFonts w:ascii="Calibri" w:eastAsia="Times New Roman" w:hAnsi="Calibri" w:cs="Calibri"/>
                <w:color w:val="000000"/>
              </w:rPr>
              <w:t>dssPath</w:t>
            </w:r>
          </w:p>
        </w:tc>
        <w:tc>
          <w:tcPr>
            <w:tcW w:w="1174" w:type="dxa"/>
            <w:tcBorders>
              <w:top w:val="nil"/>
              <w:left w:val="nil"/>
              <w:bottom w:val="nil"/>
              <w:right w:val="nil"/>
            </w:tcBorders>
            <w:shd w:val="clear" w:color="auto" w:fill="auto"/>
            <w:noWrap/>
            <w:vAlign w:val="bottom"/>
            <w:hideMark/>
          </w:tcPr>
          <w:p w:rsidR="001C4F42" w:rsidRPr="008D5CC7" w:rsidRDefault="001C4F42" w:rsidP="00F121DB">
            <w:pPr>
              <w:spacing w:after="0" w:line="240" w:lineRule="auto"/>
              <w:rPr>
                <w:rFonts w:ascii="Calibri" w:eastAsia="Times New Roman" w:hAnsi="Calibri" w:cs="Calibri"/>
                <w:color w:val="000000"/>
              </w:rPr>
            </w:pPr>
            <w:r w:rsidRPr="008D5CC7">
              <w:rPr>
                <w:rFonts w:ascii="Calibri" w:eastAsia="Times New Roman" w:hAnsi="Calibri" w:cs="Calibri"/>
                <w:color w:val="000000"/>
              </w:rPr>
              <w:t>nSubreaches</w:t>
            </w:r>
          </w:p>
        </w:tc>
      </w:tr>
      <w:tr w:rsidR="001C4F42" w:rsidRPr="008D5CC7" w:rsidTr="00F121DB">
        <w:trPr>
          <w:trHeight w:val="300"/>
        </w:trPr>
        <w:tc>
          <w:tcPr>
            <w:tcW w:w="2020" w:type="dxa"/>
            <w:tcBorders>
              <w:top w:val="nil"/>
              <w:left w:val="nil"/>
              <w:bottom w:val="nil"/>
              <w:right w:val="nil"/>
            </w:tcBorders>
            <w:shd w:val="clear" w:color="auto" w:fill="auto"/>
            <w:noWrap/>
            <w:vAlign w:val="bottom"/>
            <w:hideMark/>
          </w:tcPr>
          <w:p w:rsidR="001C4F42" w:rsidRPr="008D5CC7" w:rsidRDefault="001C4F42" w:rsidP="00F121DB">
            <w:pPr>
              <w:spacing w:after="0" w:line="240" w:lineRule="auto"/>
              <w:rPr>
                <w:rFonts w:ascii="Calibri" w:eastAsia="Times New Roman" w:hAnsi="Calibri" w:cs="Calibri"/>
                <w:color w:val="000000"/>
              </w:rPr>
            </w:pPr>
            <w:r w:rsidRPr="008D5CC7">
              <w:rPr>
                <w:rFonts w:ascii="Calibri" w:eastAsia="Times New Roman" w:hAnsi="Calibri" w:cs="Calibri"/>
                <w:color w:val="000000"/>
              </w:rPr>
              <w:t>peck_to_pot_cf</w:t>
            </w:r>
          </w:p>
        </w:tc>
        <w:tc>
          <w:tcPr>
            <w:tcW w:w="6660" w:type="dxa"/>
            <w:tcBorders>
              <w:top w:val="nil"/>
              <w:left w:val="nil"/>
              <w:bottom w:val="nil"/>
              <w:right w:val="nil"/>
            </w:tcBorders>
            <w:shd w:val="clear" w:color="auto" w:fill="auto"/>
            <w:noWrap/>
            <w:vAlign w:val="bottom"/>
            <w:hideMark/>
          </w:tcPr>
          <w:p w:rsidR="001C4F42" w:rsidRPr="008D5CC7" w:rsidRDefault="001C4F42" w:rsidP="00F121DB">
            <w:pPr>
              <w:spacing w:after="0" w:line="240" w:lineRule="auto"/>
              <w:rPr>
                <w:rFonts w:ascii="Calibri" w:eastAsia="Times New Roman" w:hAnsi="Calibri" w:cs="Calibri"/>
                <w:color w:val="000000"/>
              </w:rPr>
            </w:pPr>
            <w:r w:rsidRPr="008D5CC7">
              <w:rPr>
                <w:rFonts w:ascii="Calibri" w:eastAsia="Times New Roman" w:hAnsi="Calibri" w:cs="Calibri"/>
                <w:color w:val="000000"/>
              </w:rPr>
              <w:t>//PECK TO POTLACH_CF/STORAGE-FLOW///NWW_CLEARWATER/</w:t>
            </w:r>
          </w:p>
        </w:tc>
        <w:tc>
          <w:tcPr>
            <w:tcW w:w="1174" w:type="dxa"/>
            <w:tcBorders>
              <w:top w:val="nil"/>
              <w:left w:val="nil"/>
              <w:bottom w:val="nil"/>
              <w:right w:val="nil"/>
            </w:tcBorders>
            <w:shd w:val="clear" w:color="auto" w:fill="auto"/>
            <w:noWrap/>
            <w:vAlign w:val="bottom"/>
            <w:hideMark/>
          </w:tcPr>
          <w:p w:rsidR="001C4F42" w:rsidRPr="008D5CC7" w:rsidRDefault="001C4F42" w:rsidP="00F121DB">
            <w:pPr>
              <w:spacing w:after="0" w:line="240" w:lineRule="auto"/>
              <w:jc w:val="right"/>
              <w:rPr>
                <w:rFonts w:ascii="Calibri" w:eastAsia="Times New Roman" w:hAnsi="Calibri" w:cs="Calibri"/>
                <w:color w:val="000000"/>
              </w:rPr>
            </w:pPr>
            <w:r w:rsidRPr="008D5CC7">
              <w:rPr>
                <w:rFonts w:ascii="Calibri" w:eastAsia="Times New Roman" w:hAnsi="Calibri" w:cs="Calibri"/>
                <w:color w:val="000000"/>
              </w:rPr>
              <w:t>24</w:t>
            </w:r>
          </w:p>
        </w:tc>
      </w:tr>
    </w:tbl>
    <w:p w:rsidR="001C4F42" w:rsidRPr="008D5CC7" w:rsidRDefault="001C4F42" w:rsidP="001C4F42"/>
    <w:p w:rsidR="001C4F42" w:rsidRDefault="001C4F42" w:rsidP="001C4F42">
      <w:r>
        <w:rPr>
          <w:rFonts w:ascii="Calibri" w:eastAsia="Times New Roman" w:hAnsi="Calibri" w:cs="Calibri"/>
          <w:color w:val="000000"/>
        </w:rPr>
        <w:t>‘</w:t>
      </w:r>
      <w:r w:rsidRPr="008D5CC7">
        <w:rPr>
          <w:rFonts w:ascii="Calibri" w:eastAsia="Times New Roman" w:hAnsi="Calibri" w:cs="Calibri"/>
          <w:color w:val="000000"/>
        </w:rPr>
        <w:t>tblName</w:t>
      </w:r>
      <w:r>
        <w:rPr>
          <w:rFonts w:ascii="Calibri" w:eastAsia="Times New Roman" w:hAnsi="Calibri" w:cs="Calibri"/>
          <w:color w:val="000000"/>
        </w:rPr>
        <w:t>’</w:t>
      </w:r>
      <w:r>
        <w:t xml:space="preserve"> defines the name to be used in the ‘flow_eqn_config’ function definition. E.g., the function string would be:</w:t>
      </w:r>
    </w:p>
    <w:p w:rsidR="001C4F42" w:rsidRDefault="001C4F42" w:rsidP="001C4F42">
      <w:r w:rsidRPr="008D5CC7">
        <w:t>modifiedPulsRouting peck_to_pot_cf</w:t>
      </w:r>
    </w:p>
    <w:p w:rsidR="001C4F42" w:rsidRDefault="001C4F42" w:rsidP="001C4F42">
      <w:r>
        <w:t>You also need to define the DSS path and the number of subreaches.  This process assumes the Muskingum X value is zero.  The DSS path MUST have a C part of ‘STORAGE-FLOW’, or the computation will not work</w:t>
      </w:r>
    </w:p>
    <w:p w:rsidR="001C4F42" w:rsidRDefault="001C4F42" w:rsidP="00E45810"/>
    <w:p w:rsidR="00007617" w:rsidRDefault="00007617" w:rsidP="00007617">
      <w:pPr>
        <w:pStyle w:val="Heading2"/>
      </w:pPr>
      <w:r>
        <w:t>Script Setup</w:t>
      </w:r>
    </w:p>
    <w:p w:rsidR="00462A73" w:rsidRDefault="00007617" w:rsidP="00007617">
      <w:r>
        <w:t>The flow modifier tool is run from the “…/scripts/</w:t>
      </w:r>
      <w:r w:rsidRPr="00007617">
        <w:t>Flow_Modifier.py</w:t>
      </w:r>
      <w:r>
        <w:t>” script</w:t>
      </w:r>
      <w:r w:rsidR="00BD6F65">
        <w:t>.  You will need to set the ‘wshed’ string in this script to match that of the files that you have created.</w:t>
      </w:r>
      <w:r w:rsidR="00EE4466">
        <w:t xml:space="preserve">  In the example below, the ‘wshed’ is set to “lsr_fullrouting” to indicate the watershed is Lower Snake River, and the routing parameters used are the full routing parameters as used in HMS/ResSim.  </w:t>
      </w:r>
      <w:r w:rsidR="00462A73">
        <w:t xml:space="preserve">The corresponding files in the “flow_modifier” directory are shown in </w:t>
      </w:r>
      <w:r w:rsidR="00462A73">
        <w:fldChar w:fldCharType="begin"/>
      </w:r>
      <w:r w:rsidR="00462A73">
        <w:instrText xml:space="preserve"> REF _Ref23842376 \h </w:instrText>
      </w:r>
      <w:r w:rsidR="00462A73">
        <w:fldChar w:fldCharType="separate"/>
      </w:r>
      <w:r w:rsidR="00462A73">
        <w:t xml:space="preserve">Figure </w:t>
      </w:r>
      <w:r w:rsidR="00462A73">
        <w:rPr>
          <w:noProof/>
        </w:rPr>
        <w:t>5</w:t>
      </w:r>
      <w:r w:rsidR="00462A73">
        <w:fldChar w:fldCharType="end"/>
      </w:r>
      <w:r w:rsidR="00462A73">
        <w:t>.</w:t>
      </w:r>
    </w:p>
    <w:p w:rsidR="00DC3B35" w:rsidRDefault="00DC3B35" w:rsidP="00007617">
      <w:r>
        <w:t>The other variable you’ll need to assign in the flow modifier script is the ‘espDssFileName’, which is defined in the ‘</w:t>
      </w:r>
      <w:r w:rsidRPr="00DC3B35">
        <w:t>r_java_esp_config.bat</w:t>
      </w:r>
      <w:r>
        <w:t>’ script in the main cwms_esp directory.</w:t>
      </w:r>
    </w:p>
    <w:p w:rsidR="00007617" w:rsidRDefault="00007617" w:rsidP="00007617">
      <w:r w:rsidRPr="00007617">
        <w:rPr>
          <w:noProof/>
        </w:rPr>
        <w:lastRenderedPageBreak/>
        <w:drawing>
          <wp:inline distT="0" distB="0" distL="0" distR="0" wp14:anchorId="41DB8C4E" wp14:editId="5581B1AD">
            <wp:extent cx="5208422" cy="211697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22791" cy="2122812"/>
                    </a:xfrm>
                    <a:prstGeom prst="rect">
                      <a:avLst/>
                    </a:prstGeom>
                  </pic:spPr>
                </pic:pic>
              </a:graphicData>
            </a:graphic>
          </wp:inline>
        </w:drawing>
      </w:r>
    </w:p>
    <w:p w:rsidR="00462A73" w:rsidRDefault="00462A73" w:rsidP="00462A73">
      <w:pPr>
        <w:pStyle w:val="Caption"/>
      </w:pPr>
      <w:r>
        <w:t xml:space="preserve">Figure </w:t>
      </w:r>
      <w:fldSimple w:instr=" SEQ Figure \* ARABIC ">
        <w:r>
          <w:rPr>
            <w:noProof/>
          </w:rPr>
          <w:t>6</w:t>
        </w:r>
      </w:fldSimple>
      <w:r>
        <w:t xml:space="preserve">. Example </w:t>
      </w:r>
      <w:r w:rsidRPr="00007617">
        <w:t>Flow_Modifier.py</w:t>
      </w:r>
      <w:r>
        <w:t xml:space="preserve"> script configuration</w:t>
      </w:r>
    </w:p>
    <w:p w:rsidR="00724871" w:rsidRDefault="00724871" w:rsidP="00724871">
      <w:pPr>
        <w:pStyle w:val="Heading2"/>
      </w:pPr>
      <w:r>
        <w:t>Troubleshooting Local Flow Computation</w:t>
      </w:r>
    </w:p>
    <w:p w:rsidR="00724871" w:rsidRDefault="00724871" w:rsidP="00724871"/>
    <w:p w:rsidR="00724871" w:rsidRDefault="00724871" w:rsidP="00724871">
      <w:r>
        <w:t>Process will likely be iterative</w:t>
      </w:r>
    </w:p>
    <w:p w:rsidR="00724871" w:rsidRDefault="00724871" w:rsidP="00724871">
      <w:r>
        <w:t xml:space="preserve">If you’re not re-producing the full time period (e.g., ESP data are available Aug-Jan, but the local you’re computing only goes from Aug-Oct), then the routing is most likely going unstable.  Check that there aren’t any very small reaches (&lt;1 mile) that could be removed from the routing, and reasonably ignored. </w:t>
      </w:r>
    </w:p>
    <w:p w:rsidR="00724871" w:rsidRDefault="00724871" w:rsidP="00724871">
      <w:r>
        <w:t>Apply any multiplication factors after routing to avoid instabilities.</w:t>
      </w:r>
    </w:p>
    <w:p w:rsidR="00724871" w:rsidRPr="00724871" w:rsidRDefault="00724871" w:rsidP="00724871"/>
    <w:p w:rsidR="00473F03" w:rsidRDefault="00473F03" w:rsidP="00473F03">
      <w:pPr>
        <w:pStyle w:val="Heading1"/>
      </w:pPr>
      <w:r>
        <w:br w:type="page"/>
      </w:r>
    </w:p>
    <w:p w:rsidR="0054340F" w:rsidRDefault="0054340F" w:rsidP="00436D67">
      <w:pPr>
        <w:pStyle w:val="Heading1"/>
      </w:pPr>
      <w:r>
        <w:lastRenderedPageBreak/>
        <w:t xml:space="preserve">ResSim </w:t>
      </w:r>
      <w:r w:rsidR="001F7E3D">
        <w:t xml:space="preserve">and CAVI </w:t>
      </w:r>
      <w:r>
        <w:t>Setup</w:t>
      </w:r>
    </w:p>
    <w:p w:rsidR="001F7E3D" w:rsidRPr="001F7E3D" w:rsidRDefault="001F7E3D" w:rsidP="001F7E3D"/>
    <w:p w:rsidR="00F23411" w:rsidRDefault="00F23411" w:rsidP="00436D67">
      <w:pPr>
        <w:pStyle w:val="Heading2"/>
      </w:pPr>
      <w:r>
        <w:t xml:space="preserve">ResSim ESP </w:t>
      </w:r>
      <w:r w:rsidR="00A533AB">
        <w:t>Alternative</w:t>
      </w:r>
    </w:p>
    <w:p w:rsidR="00F23411" w:rsidRDefault="00F23411" w:rsidP="00F23411"/>
    <w:p w:rsidR="00F23411" w:rsidRDefault="00F23411" w:rsidP="00F23411">
      <w:r>
        <w:t>Ensemble mode, monte carlo tab</w:t>
      </w:r>
    </w:p>
    <w:p w:rsidR="00F23411" w:rsidRDefault="00F23411" w:rsidP="00F23411"/>
    <w:p w:rsidR="00F23411" w:rsidRDefault="00F23411" w:rsidP="00F23411">
      <w:r>
        <w:t>Map inflows</w:t>
      </w:r>
    </w:p>
    <w:p w:rsidR="00504144" w:rsidRPr="001E4F9E" w:rsidRDefault="00504144" w:rsidP="001E4F9E"/>
    <w:p w:rsidR="00B74B66" w:rsidRDefault="00B74B66" w:rsidP="00436D67">
      <w:pPr>
        <w:pStyle w:val="Heading2"/>
      </w:pPr>
      <w:r>
        <w:t>Setup Dummy Import Module Rule Script</w:t>
      </w:r>
    </w:p>
    <w:p w:rsidR="00B74B66" w:rsidRDefault="0051557A" w:rsidP="00B74B66">
      <w:r>
        <w:t>Set as release rule script of the reservoir that occurs first in the alphabet.</w:t>
      </w:r>
    </w:p>
    <w:p w:rsidR="0026352C" w:rsidRDefault="00114759" w:rsidP="00B74B66">
      <w:r>
        <w:t>Alternatively,</w:t>
      </w:r>
      <w:r w:rsidR="00385168">
        <w:t xml:space="preserve"> you can</w:t>
      </w:r>
      <w:r>
        <w:t xml:space="preserve"> put the ‘</w:t>
      </w:r>
      <w:r w:rsidRPr="00114759">
        <w:t>sqlitejdbc-0.5.4.jar</w:t>
      </w:r>
      <w:r>
        <w:t xml:space="preserve">’ file </w:t>
      </w:r>
      <w:r w:rsidR="001865CD">
        <w:t>in</w:t>
      </w:r>
      <w:r>
        <w:t>to the CAVI installation’</w:t>
      </w:r>
      <w:r w:rsidR="00597558">
        <w:t>s jar folder</w:t>
      </w:r>
      <w:r>
        <w:t xml:space="preserve"> (</w:t>
      </w:r>
      <w:r w:rsidR="00597558">
        <w:t>..\</w:t>
      </w:r>
      <w:r w:rsidR="00597558" w:rsidRPr="00597558">
        <w:t>CWMS-</w:t>
      </w:r>
      <w:r w:rsidR="00597558">
        <w:t>vx.x.x</w:t>
      </w:r>
      <w:r w:rsidR="00597558" w:rsidRPr="00597558">
        <w:t>\CAVI\jar</w:t>
      </w:r>
      <w:r>
        <w:t>).  However, putting the jar file in the CWMS watershed, makes the watershed more portable and will have one less dependency</w:t>
      </w:r>
      <w:r w:rsidR="00AD17DA">
        <w:t xml:space="preserve"> when someone else attempts to run an ESP simulation</w:t>
      </w:r>
      <w:r>
        <w:t>.</w:t>
      </w:r>
    </w:p>
    <w:p w:rsidR="003A651C" w:rsidRDefault="003A651C" w:rsidP="003A651C"/>
    <w:p w:rsidR="0026352C" w:rsidRDefault="00E45AEB" w:rsidP="00707F1C">
      <w:pPr>
        <w:pStyle w:val="Heading2"/>
      </w:pPr>
      <w:r w:rsidRPr="00E45AEB">
        <w:t xml:space="preserve">Copy_ESP_to_Forecast_dss </w:t>
      </w:r>
      <w:r w:rsidR="00707F1C">
        <w:t>script</w:t>
      </w:r>
    </w:p>
    <w:p w:rsidR="0026352C" w:rsidRDefault="00C00300" w:rsidP="0026352C">
      <w:r>
        <w:t xml:space="preserve">The CAVI </w:t>
      </w:r>
      <w:r w:rsidR="00E45AEB">
        <w:t xml:space="preserve">extract </w:t>
      </w:r>
      <w:r>
        <w:t xml:space="preserve">is not able to easily transfer ESP data from the DSS file in the watershed’s shared directory (downloaded via </w:t>
      </w:r>
      <w:r>
        <w:t>‘scripts/</w:t>
      </w:r>
      <w:r w:rsidRPr="002F5C6B">
        <w:t>Download_ESP.py</w:t>
      </w:r>
      <w:r>
        <w:t>’</w:t>
      </w:r>
      <w:r w:rsidR="004F4AD4">
        <w:t xml:space="preserve">) to the forecast.dss for the simulation.  Thus, a script was developed to copy all ESP data from the ESP DSS to the forecast.dss.  The script </w:t>
      </w:r>
      <w:r w:rsidR="00E45AEB">
        <w:t>trasnfers all data within the forecast time window (requiring a forecast to be opened in the CAVI).</w:t>
      </w:r>
      <w:r w:rsidR="00BC2454">
        <w:t xml:space="preserve">  This script can be added to the CAVI to run on the click of a button.</w:t>
      </w:r>
      <w:r w:rsidR="004F4AD4">
        <w:t xml:space="preserve"> </w:t>
      </w:r>
    </w:p>
    <w:p w:rsidR="0026352C" w:rsidRPr="00A13EC1" w:rsidRDefault="0026352C" w:rsidP="0026352C"/>
    <w:p w:rsidR="0026352C" w:rsidRDefault="0026352C" w:rsidP="0026352C">
      <w:r>
        <w:br w:type="page"/>
      </w:r>
    </w:p>
    <w:p w:rsidR="00524050" w:rsidRPr="00524050" w:rsidRDefault="00524050" w:rsidP="00524050"/>
    <w:p w:rsidR="00FE0BC5" w:rsidRDefault="00FE0BC5" w:rsidP="00FE0BC5">
      <w:pPr>
        <w:pStyle w:val="Heading1"/>
      </w:pPr>
      <w:r>
        <w:t>Running ESP Simulation</w:t>
      </w:r>
    </w:p>
    <w:p w:rsidR="00FE0BC5" w:rsidRDefault="00FE0BC5" w:rsidP="007D082D"/>
    <w:p w:rsidR="0054340F" w:rsidRDefault="00632BFD" w:rsidP="00632BFD">
      <w:pPr>
        <w:pStyle w:val="Heading2"/>
      </w:pPr>
      <w:r>
        <w:t>Looking at Results</w:t>
      </w:r>
    </w:p>
    <w:p w:rsidR="0054340F" w:rsidRPr="0054340F" w:rsidRDefault="0054340F" w:rsidP="00CE24E4">
      <w:pPr>
        <w:pStyle w:val="Heading1"/>
      </w:pPr>
      <w:r>
        <w:t>Appendix A: Example Linear Regression Fitting of Inflows to CCPs Without ESP Data for Lower Snake Watershed</w:t>
      </w:r>
    </w:p>
    <w:p w:rsidR="0054340F" w:rsidRDefault="0054340F" w:rsidP="0054340F">
      <w:r>
        <w:t>The inflows at the Tucannon, Lapwai, and Asotin CCPs in the Lower Snake CWMS watershed do not have corresponding ESP data from the RFC.  To maintain a non-zero flow at these inflow locations, relationships were created between these locations and other nearby local inflows that do have RFC data. A brute force method was applied to fit single linear regression to each reasonable pairing of RFC forecast location. The following USGS stations were considered for independent variables in the regression fitting:</w:t>
      </w:r>
    </w:p>
    <w:p w:rsidR="0054340F" w:rsidRDefault="0054340F" w:rsidP="0054340F">
      <w:r>
        <w:t xml:space="preserve">13351000 </w:t>
      </w:r>
      <w:r>
        <w:tab/>
        <w:t>Palouse River at Hooper, WA</w:t>
      </w:r>
    </w:p>
    <w:p w:rsidR="0054340F" w:rsidRDefault="0054340F" w:rsidP="0054340F">
      <w:r>
        <w:t>13341570</w:t>
      </w:r>
      <w:r>
        <w:tab/>
        <w:t>Potlatch below Little Potlatch Creek near Spalding, ID</w:t>
      </w:r>
    </w:p>
    <w:p w:rsidR="0054340F" w:rsidRDefault="0054340F" w:rsidP="0054340F">
      <w:r>
        <w:t>13340000</w:t>
      </w:r>
      <w:r>
        <w:tab/>
        <w:t>Clearwater River at Orofino, ID</w:t>
      </w:r>
    </w:p>
    <w:p w:rsidR="0054340F" w:rsidRDefault="0054340F" w:rsidP="0054340F">
      <w:r>
        <w:t>13317000</w:t>
      </w:r>
      <w:r>
        <w:tab/>
        <w:t>Salmon River at Whitebird</w:t>
      </w:r>
    </w:p>
    <w:p w:rsidR="0054340F" w:rsidRDefault="0054340F" w:rsidP="0054340F">
      <w:r>
        <w:t>13292000</w:t>
      </w:r>
      <w:r>
        <w:tab/>
        <w:t>Imnaha River at Imnaha, OR</w:t>
      </w:r>
    </w:p>
    <w:p w:rsidR="0054340F" w:rsidRDefault="0054340F" w:rsidP="0054340F">
      <w:r>
        <w:t>13342500</w:t>
      </w:r>
      <w:r>
        <w:tab/>
        <w:t>Clearwater River at Spalding, ID</w:t>
      </w:r>
    </w:p>
    <w:p w:rsidR="0054340F" w:rsidRDefault="0054340F" w:rsidP="0054340F">
      <w:r>
        <w:t>13334300</w:t>
      </w:r>
      <w:r>
        <w:tab/>
        <w:t>Snake River at Anatone</w:t>
      </w:r>
    </w:p>
    <w:p w:rsidR="0054340F" w:rsidRDefault="0054340F" w:rsidP="0054340F">
      <w:r>
        <w:t>Dependent variable data were:</w:t>
      </w:r>
    </w:p>
    <w:p w:rsidR="0054340F" w:rsidRDefault="0054340F" w:rsidP="0054340F">
      <w:r>
        <w:t>13342450</w:t>
      </w:r>
      <w:r>
        <w:tab/>
        <w:t>Lapwai Creek near Lapwai, ID</w:t>
      </w:r>
    </w:p>
    <w:p w:rsidR="0054340F" w:rsidRDefault="0054340F" w:rsidP="0054340F">
      <w:r w:rsidRPr="00D8166D">
        <w:t>13344500</w:t>
      </w:r>
      <w:r>
        <w:tab/>
        <w:t>Tucannon River near Starbuck, WA</w:t>
      </w:r>
    </w:p>
    <w:p w:rsidR="0054340F" w:rsidRDefault="0054340F" w:rsidP="0054340F">
      <w:r>
        <w:rPr>
          <w:shd w:val="clear" w:color="auto" w:fill="FFFFFF"/>
        </w:rPr>
        <w:t>13335050</w:t>
      </w:r>
      <w:r>
        <w:rPr>
          <w:shd w:val="clear" w:color="auto" w:fill="FFFFFF"/>
        </w:rPr>
        <w:tab/>
        <w:t>Asotin Creek at Asotin, WA</w:t>
      </w:r>
    </w:p>
    <w:p w:rsidR="0054340F" w:rsidRDefault="0054340F" w:rsidP="0054340F">
      <w:r>
        <w:t>USGS data were downloaded for the daily period of record at each site. Simple linear regression models were fit to each pairing of independent and dependent model, and the R</w:t>
      </w:r>
      <w:r w:rsidRPr="00245095">
        <w:rPr>
          <w:vertAlign w:val="superscript"/>
        </w:rPr>
        <w:t>2</w:t>
      </w:r>
      <w:r>
        <w:t xml:space="preserve"> and root mean square error were tallied. Although the relationships do show a large amount of scatter, the flows of the Tucannon and Lapwai rivers are small with respect to the Clearwater and Snake Rivers.  Thus, the risk associated with under-predicting the flows is small, and the scatter in the linear regression relationships is deemed acceptable.  Results of the analysis are provided below, with selected linear regression fits highlighted.</w:t>
      </w:r>
      <w:r>
        <w:br w:type="page"/>
      </w:r>
    </w:p>
    <w:p w:rsidR="0054340F" w:rsidRDefault="0054340F" w:rsidP="0054340F">
      <w:pPr>
        <w:pStyle w:val="Caption"/>
      </w:pPr>
      <w:r>
        <w:lastRenderedPageBreak/>
        <w:t xml:space="preserve">Table </w:t>
      </w:r>
      <w:r>
        <w:rPr>
          <w:noProof/>
        </w:rPr>
        <w:fldChar w:fldCharType="begin"/>
      </w:r>
      <w:r>
        <w:rPr>
          <w:noProof/>
        </w:rPr>
        <w:instrText xml:space="preserve"> SEQ Table \* ARABIC </w:instrText>
      </w:r>
      <w:r>
        <w:rPr>
          <w:noProof/>
        </w:rPr>
        <w:fldChar w:fldCharType="separate"/>
      </w:r>
      <w:r w:rsidR="00B93721">
        <w:rPr>
          <w:noProof/>
        </w:rPr>
        <w:t>2</w:t>
      </w:r>
      <w:r>
        <w:rPr>
          <w:noProof/>
        </w:rPr>
        <w:fldChar w:fldCharType="end"/>
      </w:r>
      <w:r>
        <w:t>. Results of linear regression fitting</w:t>
      </w:r>
    </w:p>
    <w:tbl>
      <w:tblPr>
        <w:tblW w:w="5920" w:type="dxa"/>
        <w:tblLook w:val="04A0" w:firstRow="1" w:lastRow="0" w:firstColumn="1" w:lastColumn="0" w:noHBand="0" w:noVBand="1"/>
      </w:tblPr>
      <w:tblGrid>
        <w:gridCol w:w="1620"/>
        <w:gridCol w:w="1620"/>
        <w:gridCol w:w="607"/>
        <w:gridCol w:w="1206"/>
        <w:gridCol w:w="1060"/>
      </w:tblGrid>
      <w:tr w:rsidR="0054340F" w:rsidRPr="00184BB4" w:rsidTr="00007617">
        <w:trPr>
          <w:trHeight w:val="615"/>
        </w:trPr>
        <w:tc>
          <w:tcPr>
            <w:tcW w:w="1620" w:type="dxa"/>
            <w:tcBorders>
              <w:top w:val="nil"/>
              <w:left w:val="nil"/>
              <w:bottom w:val="double" w:sz="6" w:space="0" w:color="auto"/>
              <w:right w:val="nil"/>
            </w:tcBorders>
            <w:shd w:val="clear" w:color="000000" w:fill="FFFFFF"/>
            <w:vAlign w:val="bottom"/>
            <w:hideMark/>
          </w:tcPr>
          <w:p w:rsidR="0054340F" w:rsidRPr="00184BB4" w:rsidRDefault="0054340F" w:rsidP="00007617">
            <w:pPr>
              <w:spacing w:after="0" w:line="240" w:lineRule="auto"/>
              <w:jc w:val="center"/>
              <w:rPr>
                <w:rFonts w:ascii="Calibri" w:eastAsia="Times New Roman" w:hAnsi="Calibri" w:cs="Calibri"/>
                <w:b/>
                <w:bCs/>
                <w:color w:val="000000"/>
              </w:rPr>
            </w:pPr>
            <w:r w:rsidRPr="00184BB4">
              <w:rPr>
                <w:rFonts w:ascii="Calibri" w:eastAsia="Times New Roman" w:hAnsi="Calibri" w:cs="Calibri"/>
                <w:b/>
                <w:bCs/>
                <w:color w:val="000000"/>
              </w:rPr>
              <w:t>Independent Variable (x)</w:t>
            </w:r>
          </w:p>
        </w:tc>
        <w:tc>
          <w:tcPr>
            <w:tcW w:w="1620" w:type="dxa"/>
            <w:tcBorders>
              <w:top w:val="nil"/>
              <w:left w:val="nil"/>
              <w:bottom w:val="double" w:sz="6" w:space="0" w:color="auto"/>
              <w:right w:val="nil"/>
            </w:tcBorders>
            <w:shd w:val="clear" w:color="000000" w:fill="FFFFFF"/>
            <w:vAlign w:val="bottom"/>
            <w:hideMark/>
          </w:tcPr>
          <w:p w:rsidR="0054340F" w:rsidRPr="00184BB4" w:rsidRDefault="0054340F" w:rsidP="00007617">
            <w:pPr>
              <w:spacing w:after="0" w:line="240" w:lineRule="auto"/>
              <w:jc w:val="center"/>
              <w:rPr>
                <w:rFonts w:ascii="Calibri" w:eastAsia="Times New Roman" w:hAnsi="Calibri" w:cs="Calibri"/>
                <w:b/>
                <w:bCs/>
                <w:color w:val="000000"/>
              </w:rPr>
            </w:pPr>
            <w:r w:rsidRPr="00184BB4">
              <w:rPr>
                <w:rFonts w:ascii="Calibri" w:eastAsia="Times New Roman" w:hAnsi="Calibri" w:cs="Calibri"/>
                <w:b/>
                <w:bCs/>
                <w:color w:val="000000"/>
              </w:rPr>
              <w:t>Dependent Variable (y)</w:t>
            </w:r>
          </w:p>
        </w:tc>
        <w:tc>
          <w:tcPr>
            <w:tcW w:w="480" w:type="dxa"/>
            <w:tcBorders>
              <w:top w:val="nil"/>
              <w:left w:val="nil"/>
              <w:bottom w:val="double" w:sz="6" w:space="0" w:color="auto"/>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b/>
                <w:bCs/>
                <w:color w:val="000000"/>
              </w:rPr>
            </w:pPr>
            <w:r w:rsidRPr="00184BB4">
              <w:rPr>
                <w:rFonts w:ascii="Calibri" w:eastAsia="Times New Roman" w:hAnsi="Calibri" w:cs="Calibri"/>
                <w:b/>
                <w:bCs/>
                <w:color w:val="000000"/>
              </w:rPr>
              <w:t>R</w:t>
            </w:r>
            <w:r w:rsidRPr="00184BB4">
              <w:rPr>
                <w:rFonts w:ascii="Calibri" w:eastAsia="Times New Roman" w:hAnsi="Calibri" w:cs="Calibri"/>
                <w:b/>
                <w:bCs/>
                <w:color w:val="000000"/>
                <w:vertAlign w:val="superscript"/>
              </w:rPr>
              <w:t>2</w:t>
            </w:r>
          </w:p>
        </w:tc>
        <w:tc>
          <w:tcPr>
            <w:tcW w:w="1140" w:type="dxa"/>
            <w:tcBorders>
              <w:top w:val="nil"/>
              <w:left w:val="nil"/>
              <w:bottom w:val="double" w:sz="6" w:space="0" w:color="auto"/>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b/>
                <w:bCs/>
                <w:color w:val="000000"/>
              </w:rPr>
            </w:pPr>
            <w:r w:rsidRPr="00184BB4">
              <w:rPr>
                <w:rFonts w:ascii="Calibri" w:eastAsia="Times New Roman" w:hAnsi="Calibri" w:cs="Calibri"/>
                <w:b/>
                <w:bCs/>
                <w:color w:val="000000"/>
              </w:rPr>
              <w:t>Coefficient</w:t>
            </w:r>
          </w:p>
        </w:tc>
        <w:tc>
          <w:tcPr>
            <w:tcW w:w="1060" w:type="dxa"/>
            <w:tcBorders>
              <w:top w:val="nil"/>
              <w:left w:val="nil"/>
              <w:bottom w:val="double" w:sz="6" w:space="0" w:color="auto"/>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b/>
                <w:bCs/>
                <w:color w:val="000000"/>
              </w:rPr>
            </w:pPr>
            <w:r w:rsidRPr="00184BB4">
              <w:rPr>
                <w:rFonts w:ascii="Calibri" w:eastAsia="Times New Roman" w:hAnsi="Calibri" w:cs="Calibri"/>
                <w:b/>
                <w:bCs/>
                <w:color w:val="000000"/>
              </w:rPr>
              <w:t>RMSE (cfs)</w:t>
            </w:r>
          </w:p>
        </w:tc>
      </w:tr>
      <w:tr w:rsidR="0054340F" w:rsidRPr="00184BB4" w:rsidTr="00007617">
        <w:trPr>
          <w:trHeight w:val="315"/>
        </w:trPr>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palouse</w:t>
            </w:r>
          </w:p>
        </w:tc>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lapwai</w:t>
            </w:r>
          </w:p>
        </w:tc>
        <w:tc>
          <w:tcPr>
            <w:tcW w:w="48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0.69</w:t>
            </w:r>
          </w:p>
        </w:tc>
        <w:tc>
          <w:tcPr>
            <w:tcW w:w="114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0.11</w:t>
            </w:r>
          </w:p>
        </w:tc>
        <w:tc>
          <w:tcPr>
            <w:tcW w:w="106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95.02</w:t>
            </w:r>
          </w:p>
        </w:tc>
      </w:tr>
      <w:tr w:rsidR="0054340F" w:rsidRPr="00184BB4" w:rsidTr="00007617">
        <w:trPr>
          <w:trHeight w:val="300"/>
        </w:trPr>
        <w:tc>
          <w:tcPr>
            <w:tcW w:w="1620" w:type="dxa"/>
            <w:tcBorders>
              <w:top w:val="nil"/>
              <w:left w:val="nil"/>
              <w:bottom w:val="nil"/>
              <w:right w:val="nil"/>
            </w:tcBorders>
            <w:shd w:val="clear" w:color="000000" w:fill="FFFF00"/>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potlatch</w:t>
            </w:r>
          </w:p>
        </w:tc>
        <w:tc>
          <w:tcPr>
            <w:tcW w:w="1620" w:type="dxa"/>
            <w:tcBorders>
              <w:top w:val="nil"/>
              <w:left w:val="nil"/>
              <w:bottom w:val="nil"/>
              <w:right w:val="nil"/>
            </w:tcBorders>
            <w:shd w:val="clear" w:color="000000" w:fill="FFFF00"/>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lapwai</w:t>
            </w:r>
          </w:p>
        </w:tc>
        <w:tc>
          <w:tcPr>
            <w:tcW w:w="480" w:type="dxa"/>
            <w:tcBorders>
              <w:top w:val="nil"/>
              <w:left w:val="nil"/>
              <w:bottom w:val="nil"/>
              <w:right w:val="nil"/>
            </w:tcBorders>
            <w:shd w:val="clear" w:color="000000" w:fill="FFFF00"/>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0.75</w:t>
            </w:r>
          </w:p>
        </w:tc>
        <w:tc>
          <w:tcPr>
            <w:tcW w:w="1140" w:type="dxa"/>
            <w:tcBorders>
              <w:top w:val="nil"/>
              <w:left w:val="nil"/>
              <w:bottom w:val="nil"/>
              <w:right w:val="nil"/>
            </w:tcBorders>
            <w:shd w:val="clear" w:color="000000" w:fill="FFFF00"/>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0.14</w:t>
            </w:r>
          </w:p>
        </w:tc>
        <w:tc>
          <w:tcPr>
            <w:tcW w:w="1060" w:type="dxa"/>
            <w:tcBorders>
              <w:top w:val="nil"/>
              <w:left w:val="nil"/>
              <w:bottom w:val="nil"/>
              <w:right w:val="nil"/>
            </w:tcBorders>
            <w:shd w:val="clear" w:color="000000" w:fill="FFFF00"/>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89.72</w:t>
            </w:r>
          </w:p>
        </w:tc>
      </w:tr>
      <w:tr w:rsidR="0054340F" w:rsidRPr="00184BB4" w:rsidTr="00007617">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orofino</w:t>
            </w:r>
          </w:p>
        </w:tc>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lapwai</w:t>
            </w:r>
          </w:p>
        </w:tc>
        <w:tc>
          <w:tcPr>
            <w:tcW w:w="48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0.30</w:t>
            </w:r>
          </w:p>
        </w:tc>
        <w:tc>
          <w:tcPr>
            <w:tcW w:w="114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0.01</w:t>
            </w:r>
          </w:p>
        </w:tc>
        <w:tc>
          <w:tcPr>
            <w:tcW w:w="106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139.44</w:t>
            </w:r>
          </w:p>
        </w:tc>
      </w:tr>
      <w:tr w:rsidR="0054340F" w:rsidRPr="00184BB4" w:rsidTr="00007617">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salmon</w:t>
            </w:r>
          </w:p>
        </w:tc>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lapwai</w:t>
            </w:r>
          </w:p>
        </w:tc>
        <w:tc>
          <w:tcPr>
            <w:tcW w:w="48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0.15</w:t>
            </w:r>
          </w:p>
        </w:tc>
        <w:tc>
          <w:tcPr>
            <w:tcW w:w="114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0.00</w:t>
            </w:r>
          </w:p>
        </w:tc>
        <w:tc>
          <w:tcPr>
            <w:tcW w:w="106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154.17</w:t>
            </w:r>
          </w:p>
        </w:tc>
      </w:tr>
      <w:tr w:rsidR="0054340F" w:rsidRPr="00184BB4" w:rsidTr="00007617">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imnaha</w:t>
            </w:r>
          </w:p>
        </w:tc>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lapwai</w:t>
            </w:r>
          </w:p>
        </w:tc>
        <w:tc>
          <w:tcPr>
            <w:tcW w:w="48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0.30</w:t>
            </w:r>
          </w:p>
        </w:tc>
        <w:tc>
          <w:tcPr>
            <w:tcW w:w="114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0.12</w:t>
            </w:r>
          </w:p>
        </w:tc>
        <w:tc>
          <w:tcPr>
            <w:tcW w:w="106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136.26</w:t>
            </w:r>
          </w:p>
        </w:tc>
      </w:tr>
      <w:tr w:rsidR="0054340F" w:rsidRPr="00184BB4" w:rsidTr="00007617">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spalding</w:t>
            </w:r>
          </w:p>
        </w:tc>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lapwai</w:t>
            </w:r>
          </w:p>
        </w:tc>
        <w:tc>
          <w:tcPr>
            <w:tcW w:w="48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0.39</w:t>
            </w:r>
          </w:p>
        </w:tc>
        <w:tc>
          <w:tcPr>
            <w:tcW w:w="114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0.01</w:t>
            </w:r>
          </w:p>
        </w:tc>
        <w:tc>
          <w:tcPr>
            <w:tcW w:w="106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131.72</w:t>
            </w:r>
          </w:p>
        </w:tc>
      </w:tr>
      <w:tr w:rsidR="0054340F" w:rsidRPr="00184BB4" w:rsidTr="00007617">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anatone</w:t>
            </w:r>
          </w:p>
        </w:tc>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lapwai</w:t>
            </w:r>
          </w:p>
        </w:tc>
        <w:tc>
          <w:tcPr>
            <w:tcW w:w="48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0.36</w:t>
            </w:r>
          </w:p>
        </w:tc>
        <w:tc>
          <w:tcPr>
            <w:tcW w:w="114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0.00</w:t>
            </w:r>
          </w:p>
        </w:tc>
        <w:tc>
          <w:tcPr>
            <w:tcW w:w="106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132.96</w:t>
            </w:r>
          </w:p>
        </w:tc>
      </w:tr>
      <w:tr w:rsidR="0054340F" w:rsidRPr="00184BB4" w:rsidTr="00007617">
        <w:trPr>
          <w:trHeight w:val="300"/>
        </w:trPr>
        <w:tc>
          <w:tcPr>
            <w:tcW w:w="1620" w:type="dxa"/>
            <w:tcBorders>
              <w:top w:val="nil"/>
              <w:left w:val="nil"/>
              <w:bottom w:val="nil"/>
              <w:right w:val="nil"/>
            </w:tcBorders>
            <w:shd w:val="clear" w:color="000000" w:fill="FFFF00"/>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palouse</w:t>
            </w:r>
          </w:p>
        </w:tc>
        <w:tc>
          <w:tcPr>
            <w:tcW w:w="1620" w:type="dxa"/>
            <w:tcBorders>
              <w:top w:val="nil"/>
              <w:left w:val="nil"/>
              <w:bottom w:val="nil"/>
              <w:right w:val="nil"/>
            </w:tcBorders>
            <w:shd w:val="clear" w:color="000000" w:fill="FFFF00"/>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tucannon</w:t>
            </w:r>
          </w:p>
        </w:tc>
        <w:tc>
          <w:tcPr>
            <w:tcW w:w="480" w:type="dxa"/>
            <w:tcBorders>
              <w:top w:val="nil"/>
              <w:left w:val="nil"/>
              <w:bottom w:val="nil"/>
              <w:right w:val="nil"/>
            </w:tcBorders>
            <w:shd w:val="clear" w:color="000000" w:fill="FFFF00"/>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0.68</w:t>
            </w:r>
          </w:p>
        </w:tc>
        <w:tc>
          <w:tcPr>
            <w:tcW w:w="1140" w:type="dxa"/>
            <w:tcBorders>
              <w:top w:val="nil"/>
              <w:left w:val="nil"/>
              <w:bottom w:val="nil"/>
              <w:right w:val="nil"/>
            </w:tcBorders>
            <w:shd w:val="clear" w:color="000000" w:fill="FFFF00"/>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0.15</w:t>
            </w:r>
          </w:p>
        </w:tc>
        <w:tc>
          <w:tcPr>
            <w:tcW w:w="1060" w:type="dxa"/>
            <w:tcBorders>
              <w:top w:val="nil"/>
              <w:left w:val="nil"/>
              <w:bottom w:val="nil"/>
              <w:right w:val="nil"/>
            </w:tcBorders>
            <w:shd w:val="clear" w:color="000000" w:fill="FFFF00"/>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139.82</w:t>
            </w:r>
          </w:p>
        </w:tc>
      </w:tr>
      <w:tr w:rsidR="0054340F" w:rsidRPr="00184BB4" w:rsidTr="00007617">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potlatch</w:t>
            </w:r>
          </w:p>
        </w:tc>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tucannon</w:t>
            </w:r>
          </w:p>
        </w:tc>
        <w:tc>
          <w:tcPr>
            <w:tcW w:w="48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0.54</w:t>
            </w:r>
          </w:p>
        </w:tc>
        <w:tc>
          <w:tcPr>
            <w:tcW w:w="114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0.17</w:t>
            </w:r>
          </w:p>
        </w:tc>
        <w:tc>
          <w:tcPr>
            <w:tcW w:w="106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158.87</w:t>
            </w:r>
          </w:p>
        </w:tc>
      </w:tr>
      <w:tr w:rsidR="0054340F" w:rsidRPr="00184BB4" w:rsidTr="00007617">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orofino</w:t>
            </w:r>
          </w:p>
        </w:tc>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tucannon</w:t>
            </w:r>
          </w:p>
        </w:tc>
        <w:tc>
          <w:tcPr>
            <w:tcW w:w="48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0.60</w:t>
            </w:r>
          </w:p>
        </w:tc>
        <w:tc>
          <w:tcPr>
            <w:tcW w:w="114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0.01</w:t>
            </w:r>
          </w:p>
        </w:tc>
        <w:tc>
          <w:tcPr>
            <w:tcW w:w="106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155.16</w:t>
            </w:r>
          </w:p>
        </w:tc>
      </w:tr>
      <w:tr w:rsidR="0054340F" w:rsidRPr="00184BB4" w:rsidTr="00007617">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salmon</w:t>
            </w:r>
          </w:p>
        </w:tc>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tucannon</w:t>
            </w:r>
          </w:p>
        </w:tc>
        <w:tc>
          <w:tcPr>
            <w:tcW w:w="48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0.44</w:t>
            </w:r>
          </w:p>
        </w:tc>
        <w:tc>
          <w:tcPr>
            <w:tcW w:w="114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0.01</w:t>
            </w:r>
          </w:p>
        </w:tc>
        <w:tc>
          <w:tcPr>
            <w:tcW w:w="106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184.44</w:t>
            </w:r>
          </w:p>
        </w:tc>
      </w:tr>
      <w:tr w:rsidR="0054340F" w:rsidRPr="00184BB4" w:rsidTr="00007617">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imnaha</w:t>
            </w:r>
          </w:p>
        </w:tc>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tucannon</w:t>
            </w:r>
          </w:p>
        </w:tc>
        <w:tc>
          <w:tcPr>
            <w:tcW w:w="48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0.56</w:t>
            </w:r>
          </w:p>
        </w:tc>
        <w:tc>
          <w:tcPr>
            <w:tcW w:w="114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0.23</w:t>
            </w:r>
          </w:p>
        </w:tc>
        <w:tc>
          <w:tcPr>
            <w:tcW w:w="106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164.62</w:t>
            </w:r>
          </w:p>
        </w:tc>
      </w:tr>
      <w:tr w:rsidR="0054340F" w:rsidRPr="00184BB4" w:rsidTr="00007617">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spalding</w:t>
            </w:r>
          </w:p>
        </w:tc>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tucannon</w:t>
            </w:r>
          </w:p>
        </w:tc>
        <w:tc>
          <w:tcPr>
            <w:tcW w:w="48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0.69</w:t>
            </w:r>
          </w:p>
        </w:tc>
        <w:tc>
          <w:tcPr>
            <w:tcW w:w="114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0.01</w:t>
            </w:r>
          </w:p>
        </w:tc>
        <w:tc>
          <w:tcPr>
            <w:tcW w:w="106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136.32</w:t>
            </w:r>
          </w:p>
        </w:tc>
      </w:tr>
      <w:tr w:rsidR="0054340F" w:rsidRPr="00184BB4" w:rsidTr="00007617">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anatone</w:t>
            </w:r>
          </w:p>
        </w:tc>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tucannon</w:t>
            </w:r>
          </w:p>
        </w:tc>
        <w:tc>
          <w:tcPr>
            <w:tcW w:w="48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0.67</w:t>
            </w:r>
          </w:p>
        </w:tc>
        <w:tc>
          <w:tcPr>
            <w:tcW w:w="114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0.00</w:t>
            </w:r>
          </w:p>
        </w:tc>
        <w:tc>
          <w:tcPr>
            <w:tcW w:w="106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140.85</w:t>
            </w:r>
          </w:p>
        </w:tc>
      </w:tr>
      <w:tr w:rsidR="0054340F" w:rsidRPr="00184BB4" w:rsidTr="00007617">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palouse</w:t>
            </w:r>
          </w:p>
        </w:tc>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asotin</w:t>
            </w:r>
          </w:p>
        </w:tc>
        <w:tc>
          <w:tcPr>
            <w:tcW w:w="48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0.60</w:t>
            </w:r>
          </w:p>
        </w:tc>
        <w:tc>
          <w:tcPr>
            <w:tcW w:w="114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0.09</w:t>
            </w:r>
          </w:p>
        </w:tc>
        <w:tc>
          <w:tcPr>
            <w:tcW w:w="106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97.54</w:t>
            </w:r>
          </w:p>
        </w:tc>
      </w:tr>
      <w:tr w:rsidR="0054340F" w:rsidRPr="00184BB4" w:rsidTr="00007617">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potlatch</w:t>
            </w:r>
          </w:p>
        </w:tc>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asotin</w:t>
            </w:r>
          </w:p>
        </w:tc>
        <w:tc>
          <w:tcPr>
            <w:tcW w:w="48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0.50</w:t>
            </w:r>
          </w:p>
        </w:tc>
        <w:tc>
          <w:tcPr>
            <w:tcW w:w="114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0.10</w:t>
            </w:r>
          </w:p>
        </w:tc>
        <w:tc>
          <w:tcPr>
            <w:tcW w:w="106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98.22</w:t>
            </w:r>
          </w:p>
        </w:tc>
      </w:tr>
      <w:tr w:rsidR="0054340F" w:rsidRPr="00184BB4" w:rsidTr="00007617">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orofino</w:t>
            </w:r>
          </w:p>
        </w:tc>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asotin</w:t>
            </w:r>
          </w:p>
        </w:tc>
        <w:tc>
          <w:tcPr>
            <w:tcW w:w="48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0.60</w:t>
            </w:r>
          </w:p>
        </w:tc>
        <w:tc>
          <w:tcPr>
            <w:tcW w:w="114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0.01</w:t>
            </w:r>
          </w:p>
        </w:tc>
        <w:tc>
          <w:tcPr>
            <w:tcW w:w="106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98.05</w:t>
            </w:r>
          </w:p>
        </w:tc>
      </w:tr>
      <w:tr w:rsidR="0054340F" w:rsidRPr="00184BB4" w:rsidTr="00007617">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salmon</w:t>
            </w:r>
          </w:p>
        </w:tc>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asotin</w:t>
            </w:r>
          </w:p>
        </w:tc>
        <w:tc>
          <w:tcPr>
            <w:tcW w:w="48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0.45</w:t>
            </w:r>
          </w:p>
        </w:tc>
        <w:tc>
          <w:tcPr>
            <w:tcW w:w="114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0.01</w:t>
            </w:r>
          </w:p>
        </w:tc>
        <w:tc>
          <w:tcPr>
            <w:tcW w:w="106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114.54</w:t>
            </w:r>
          </w:p>
        </w:tc>
      </w:tr>
      <w:tr w:rsidR="0054340F" w:rsidRPr="00184BB4" w:rsidTr="00007617">
        <w:trPr>
          <w:trHeight w:val="300"/>
        </w:trPr>
        <w:tc>
          <w:tcPr>
            <w:tcW w:w="1620" w:type="dxa"/>
            <w:tcBorders>
              <w:top w:val="nil"/>
              <w:left w:val="nil"/>
              <w:bottom w:val="nil"/>
              <w:right w:val="nil"/>
            </w:tcBorders>
            <w:shd w:val="clear" w:color="000000" w:fill="FFFF00"/>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imnaha</w:t>
            </w:r>
          </w:p>
        </w:tc>
        <w:tc>
          <w:tcPr>
            <w:tcW w:w="1620" w:type="dxa"/>
            <w:tcBorders>
              <w:top w:val="nil"/>
              <w:left w:val="nil"/>
              <w:bottom w:val="nil"/>
              <w:right w:val="nil"/>
            </w:tcBorders>
            <w:shd w:val="clear" w:color="000000" w:fill="FFFF00"/>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asotin</w:t>
            </w:r>
          </w:p>
        </w:tc>
        <w:tc>
          <w:tcPr>
            <w:tcW w:w="480" w:type="dxa"/>
            <w:tcBorders>
              <w:top w:val="nil"/>
              <w:left w:val="nil"/>
              <w:bottom w:val="nil"/>
              <w:right w:val="nil"/>
            </w:tcBorders>
            <w:shd w:val="clear" w:color="000000" w:fill="FFFF00"/>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0.66</w:t>
            </w:r>
          </w:p>
        </w:tc>
        <w:tc>
          <w:tcPr>
            <w:tcW w:w="1140" w:type="dxa"/>
            <w:tcBorders>
              <w:top w:val="nil"/>
              <w:left w:val="nil"/>
              <w:bottom w:val="nil"/>
              <w:right w:val="nil"/>
            </w:tcBorders>
            <w:shd w:val="clear" w:color="000000" w:fill="FFFF00"/>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0.16</w:t>
            </w:r>
          </w:p>
        </w:tc>
        <w:tc>
          <w:tcPr>
            <w:tcW w:w="1060" w:type="dxa"/>
            <w:tcBorders>
              <w:top w:val="nil"/>
              <w:left w:val="nil"/>
              <w:bottom w:val="nil"/>
              <w:right w:val="nil"/>
            </w:tcBorders>
            <w:shd w:val="clear" w:color="000000" w:fill="FFFF00"/>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92.21</w:t>
            </w:r>
          </w:p>
        </w:tc>
      </w:tr>
      <w:tr w:rsidR="0054340F" w:rsidRPr="00184BB4" w:rsidTr="00007617">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spalding</w:t>
            </w:r>
          </w:p>
        </w:tc>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asotin</w:t>
            </w:r>
          </w:p>
        </w:tc>
        <w:tc>
          <w:tcPr>
            <w:tcW w:w="48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0.64</w:t>
            </w:r>
          </w:p>
        </w:tc>
        <w:tc>
          <w:tcPr>
            <w:tcW w:w="114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0.01</w:t>
            </w:r>
          </w:p>
        </w:tc>
        <w:tc>
          <w:tcPr>
            <w:tcW w:w="106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92.37</w:t>
            </w:r>
          </w:p>
        </w:tc>
      </w:tr>
      <w:tr w:rsidR="0054340F" w:rsidRPr="00184BB4" w:rsidTr="00007617">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anatone</w:t>
            </w:r>
          </w:p>
        </w:tc>
        <w:tc>
          <w:tcPr>
            <w:tcW w:w="162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asotin</w:t>
            </w:r>
          </w:p>
        </w:tc>
        <w:tc>
          <w:tcPr>
            <w:tcW w:w="48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0.65</w:t>
            </w:r>
          </w:p>
        </w:tc>
        <w:tc>
          <w:tcPr>
            <w:tcW w:w="114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0.00</w:t>
            </w:r>
          </w:p>
        </w:tc>
        <w:tc>
          <w:tcPr>
            <w:tcW w:w="1060" w:type="dxa"/>
            <w:tcBorders>
              <w:top w:val="nil"/>
              <w:left w:val="nil"/>
              <w:bottom w:val="nil"/>
              <w:right w:val="nil"/>
            </w:tcBorders>
            <w:shd w:val="clear" w:color="000000" w:fill="FFFFFF"/>
            <w:noWrap/>
            <w:vAlign w:val="bottom"/>
            <w:hideMark/>
          </w:tcPr>
          <w:p w:rsidR="0054340F" w:rsidRPr="00184BB4" w:rsidRDefault="0054340F" w:rsidP="00007617">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91.05</w:t>
            </w:r>
          </w:p>
        </w:tc>
      </w:tr>
    </w:tbl>
    <w:p w:rsidR="0054340F" w:rsidRPr="00245095" w:rsidRDefault="0054340F" w:rsidP="0054340F"/>
    <w:p w:rsidR="0054340F" w:rsidRDefault="0054340F" w:rsidP="0054340F">
      <w:pPr>
        <w:rPr>
          <w:u w:val="single"/>
        </w:rPr>
      </w:pPr>
      <w:r>
        <w:rPr>
          <w:u w:val="single"/>
        </w:rPr>
        <w:br w:type="page"/>
      </w:r>
    </w:p>
    <w:p w:rsidR="0054340F" w:rsidRDefault="0054340F" w:rsidP="0054340F">
      <w:pPr>
        <w:pStyle w:val="Heading2"/>
      </w:pPr>
      <w:r w:rsidRPr="0074670B">
        <w:lastRenderedPageBreak/>
        <w:t>Tucannon</w:t>
      </w:r>
    </w:p>
    <w:p w:rsidR="0054340F" w:rsidRPr="0074670B" w:rsidRDefault="0054340F" w:rsidP="0054340F">
      <w:pPr>
        <w:rPr>
          <w:u w:val="single"/>
        </w:rPr>
      </w:pPr>
      <w:r w:rsidRPr="00190BAB">
        <w:rPr>
          <w:noProof/>
        </w:rPr>
        <w:drawing>
          <wp:inline distT="0" distB="0" distL="0" distR="0" wp14:anchorId="454B856D" wp14:editId="7D4A86E1">
            <wp:extent cx="5676900" cy="5676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ucannon.png"/>
                    <pic:cNvPicPr/>
                  </pic:nvPicPr>
                  <pic:blipFill>
                    <a:blip r:embed="rId22">
                      <a:extLst>
                        <a:ext uri="{28A0092B-C50C-407E-A947-70E740481C1C}">
                          <a14:useLocalDpi xmlns:a14="http://schemas.microsoft.com/office/drawing/2010/main" val="0"/>
                        </a:ext>
                      </a:extLst>
                    </a:blip>
                    <a:stretch>
                      <a:fillRect/>
                    </a:stretch>
                  </pic:blipFill>
                  <pic:spPr>
                    <a:xfrm>
                      <a:off x="0" y="0"/>
                      <a:ext cx="5676900" cy="5676900"/>
                    </a:xfrm>
                    <a:prstGeom prst="rect">
                      <a:avLst/>
                    </a:prstGeom>
                  </pic:spPr>
                </pic:pic>
              </a:graphicData>
            </a:graphic>
          </wp:inline>
        </w:drawing>
      </w:r>
    </w:p>
    <w:p w:rsidR="0054340F" w:rsidRDefault="0054340F" w:rsidP="0054340F">
      <w:r>
        <w:t>Selected Independent Variable:</w:t>
      </w:r>
      <w:r>
        <w:tab/>
        <w:t>Palouse River at Hooper, WA (13351000)</w:t>
      </w:r>
    </w:p>
    <w:p w:rsidR="0054340F" w:rsidRDefault="0054340F" w:rsidP="0054340F">
      <w:r>
        <w:t>Max Recorded Tucannon Flow = 5000 cfs</w:t>
      </w:r>
    </w:p>
    <w:p w:rsidR="0054340F" w:rsidRPr="008F766E" w:rsidRDefault="0054340F" w:rsidP="0054340F">
      <w:r>
        <w:t>R</w:t>
      </w:r>
      <w:r w:rsidRPr="00121CB6">
        <w:rPr>
          <w:vertAlign w:val="superscript"/>
        </w:rPr>
        <w:t>2</w:t>
      </w:r>
      <w:r>
        <w:t xml:space="preserve"> = </w:t>
      </w:r>
      <w:r>
        <w:rPr>
          <w:bdr w:val="none" w:sz="0" w:space="0" w:color="auto" w:frame="1"/>
        </w:rPr>
        <w:t>0.68</w:t>
      </w:r>
    </w:p>
    <w:p w:rsidR="0054340F" w:rsidRDefault="0054340F" w:rsidP="0054340F">
      <w:r>
        <w:t>RMSE = 90 cfs</w:t>
      </w:r>
    </w:p>
    <w:p w:rsidR="0054340F" w:rsidRDefault="0054340F" w:rsidP="0054340F">
      <w:r>
        <w:t>Eqn: Tucannon = 0.15*Palouse</w:t>
      </w:r>
    </w:p>
    <w:p w:rsidR="0054340F" w:rsidRDefault="0054340F" w:rsidP="0054340F">
      <w:r>
        <w:t>Row in ‘flow_eqn_config_lsr_fullrouting.csv’ file:</w:t>
      </w:r>
    </w:p>
    <w:p w:rsidR="0054340F" w:rsidRDefault="0054340F" w:rsidP="0054340F">
      <w:pPr>
        <w:rPr>
          <w:u w:val="single"/>
        </w:rPr>
      </w:pPr>
      <w:r w:rsidRPr="007238EC">
        <w:rPr>
          <w:noProof/>
        </w:rPr>
        <w:drawing>
          <wp:inline distT="0" distB="0" distL="0" distR="0" wp14:anchorId="2F254F3D" wp14:editId="455DA769">
            <wp:extent cx="5943600" cy="2911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91144"/>
                    </a:xfrm>
                    <a:prstGeom prst="rect">
                      <a:avLst/>
                    </a:prstGeom>
                    <a:noFill/>
                    <a:ln>
                      <a:noFill/>
                    </a:ln>
                  </pic:spPr>
                </pic:pic>
              </a:graphicData>
            </a:graphic>
          </wp:inline>
        </w:drawing>
      </w:r>
      <w:r>
        <w:rPr>
          <w:u w:val="single"/>
        </w:rPr>
        <w:br w:type="page"/>
      </w:r>
    </w:p>
    <w:p w:rsidR="0054340F" w:rsidRDefault="0054340F" w:rsidP="0054340F">
      <w:pPr>
        <w:pStyle w:val="Heading2"/>
      </w:pPr>
      <w:r w:rsidRPr="0074670B">
        <w:lastRenderedPageBreak/>
        <w:t>Lapwai</w:t>
      </w:r>
    </w:p>
    <w:p w:rsidR="0054340F" w:rsidRDefault="0054340F" w:rsidP="0054340F">
      <w:pPr>
        <w:rPr>
          <w:u w:val="single"/>
        </w:rPr>
      </w:pPr>
      <w:r w:rsidRPr="003E73D6">
        <w:rPr>
          <w:noProof/>
        </w:rPr>
        <w:drawing>
          <wp:inline distT="0" distB="0" distL="0" distR="0" wp14:anchorId="34EC2F3A" wp14:editId="63DC93DE">
            <wp:extent cx="5305425" cy="5305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pwai.png"/>
                    <pic:cNvPicPr/>
                  </pic:nvPicPr>
                  <pic:blipFill>
                    <a:blip r:embed="rId24">
                      <a:extLst>
                        <a:ext uri="{28A0092B-C50C-407E-A947-70E740481C1C}">
                          <a14:useLocalDpi xmlns:a14="http://schemas.microsoft.com/office/drawing/2010/main" val="0"/>
                        </a:ext>
                      </a:extLst>
                    </a:blip>
                    <a:stretch>
                      <a:fillRect/>
                    </a:stretch>
                  </pic:blipFill>
                  <pic:spPr>
                    <a:xfrm>
                      <a:off x="0" y="0"/>
                      <a:ext cx="5305425" cy="5305425"/>
                    </a:xfrm>
                    <a:prstGeom prst="rect">
                      <a:avLst/>
                    </a:prstGeom>
                  </pic:spPr>
                </pic:pic>
              </a:graphicData>
            </a:graphic>
          </wp:inline>
        </w:drawing>
      </w:r>
    </w:p>
    <w:p w:rsidR="0054340F" w:rsidRPr="0074670B" w:rsidRDefault="0054340F" w:rsidP="0054340F">
      <w:r w:rsidRPr="0074670B">
        <w:t xml:space="preserve">Selected </w:t>
      </w:r>
      <w:r>
        <w:t>Independent Variable = Potlatch below Little Potlatch Creek near Spalding, ID (13341570)</w:t>
      </w:r>
    </w:p>
    <w:p w:rsidR="0054340F" w:rsidRDefault="0054340F" w:rsidP="0054340F">
      <w:r>
        <w:t>Max Recorded Lapwai Flow = 3600 cfs</w:t>
      </w:r>
    </w:p>
    <w:p w:rsidR="0054340F" w:rsidRDefault="0054340F" w:rsidP="0054340F">
      <w:r>
        <w:t>R</w:t>
      </w:r>
      <w:r w:rsidRPr="00121CB6">
        <w:rPr>
          <w:vertAlign w:val="superscript"/>
        </w:rPr>
        <w:t>2</w:t>
      </w:r>
      <w:r>
        <w:t xml:space="preserve"> = 0.75</w:t>
      </w:r>
    </w:p>
    <w:p w:rsidR="0054340F" w:rsidRDefault="0054340F" w:rsidP="0054340F">
      <w:r>
        <w:t>RMSE = 140 cfs</w:t>
      </w:r>
    </w:p>
    <w:p w:rsidR="0054340F" w:rsidRDefault="0054340F" w:rsidP="0054340F">
      <w:r>
        <w:t>Eqn: Lapwai = 0.14*Potlatch</w:t>
      </w:r>
    </w:p>
    <w:p w:rsidR="0054340F" w:rsidRDefault="0054340F" w:rsidP="0054340F">
      <w:r>
        <w:t>Row in ‘flow_eqn_config_lsr_fullrouting.csv’ file:</w:t>
      </w:r>
    </w:p>
    <w:p w:rsidR="0054340F" w:rsidRDefault="0054340F" w:rsidP="0054340F">
      <w:r w:rsidRPr="007238EC">
        <w:rPr>
          <w:noProof/>
        </w:rPr>
        <w:drawing>
          <wp:inline distT="0" distB="0" distL="0" distR="0" wp14:anchorId="202196A6" wp14:editId="439D2077">
            <wp:extent cx="5943600" cy="2911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91144"/>
                    </a:xfrm>
                    <a:prstGeom prst="rect">
                      <a:avLst/>
                    </a:prstGeom>
                    <a:noFill/>
                    <a:ln>
                      <a:noFill/>
                    </a:ln>
                  </pic:spPr>
                </pic:pic>
              </a:graphicData>
            </a:graphic>
          </wp:inline>
        </w:drawing>
      </w:r>
    </w:p>
    <w:p w:rsidR="0054340F" w:rsidRDefault="0054340F" w:rsidP="0054340F">
      <w:r>
        <w:br w:type="page"/>
      </w:r>
    </w:p>
    <w:p w:rsidR="0054340F" w:rsidRDefault="0054340F" w:rsidP="0054340F">
      <w:pPr>
        <w:pStyle w:val="Heading2"/>
      </w:pPr>
      <w:r>
        <w:lastRenderedPageBreak/>
        <w:t>Asotin</w:t>
      </w:r>
    </w:p>
    <w:p w:rsidR="0054340F" w:rsidRPr="00D40303" w:rsidRDefault="0054340F" w:rsidP="0054340F">
      <w:r>
        <w:rPr>
          <w:noProof/>
        </w:rPr>
        <w:drawing>
          <wp:inline distT="0" distB="0" distL="0" distR="0" wp14:anchorId="7DF35DFA" wp14:editId="7C693D79">
            <wp:extent cx="4914900" cy="4914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sotin.png"/>
                    <pic:cNvPicPr/>
                  </pic:nvPicPr>
                  <pic:blipFill>
                    <a:blip r:embed="rId26">
                      <a:extLst>
                        <a:ext uri="{28A0092B-C50C-407E-A947-70E740481C1C}">
                          <a14:useLocalDpi xmlns:a14="http://schemas.microsoft.com/office/drawing/2010/main" val="0"/>
                        </a:ext>
                      </a:extLst>
                    </a:blip>
                    <a:stretch>
                      <a:fillRect/>
                    </a:stretch>
                  </pic:blipFill>
                  <pic:spPr>
                    <a:xfrm>
                      <a:off x="0" y="0"/>
                      <a:ext cx="4914900" cy="4914900"/>
                    </a:xfrm>
                    <a:prstGeom prst="rect">
                      <a:avLst/>
                    </a:prstGeom>
                  </pic:spPr>
                </pic:pic>
              </a:graphicData>
            </a:graphic>
          </wp:inline>
        </w:drawing>
      </w:r>
    </w:p>
    <w:p w:rsidR="0054340F" w:rsidRDefault="0054340F" w:rsidP="0054340F">
      <w:r w:rsidRPr="0074670B">
        <w:t xml:space="preserve">Selected </w:t>
      </w:r>
      <w:r>
        <w:t>Independent Variable = Imnaha River at Imnaha, OR</w:t>
      </w:r>
    </w:p>
    <w:p w:rsidR="0054340F" w:rsidRDefault="0054340F" w:rsidP="0054340F">
      <w:r>
        <w:t>Max Recorded Lapwai Flow = 3000 cfs</w:t>
      </w:r>
    </w:p>
    <w:p w:rsidR="0054340F" w:rsidRDefault="0054340F" w:rsidP="0054340F">
      <w:r>
        <w:t>R</w:t>
      </w:r>
      <w:r w:rsidRPr="00121CB6">
        <w:rPr>
          <w:vertAlign w:val="superscript"/>
        </w:rPr>
        <w:t>2</w:t>
      </w:r>
      <w:r>
        <w:t xml:space="preserve"> = 0.66</w:t>
      </w:r>
    </w:p>
    <w:p w:rsidR="0054340F" w:rsidRDefault="0054340F" w:rsidP="0054340F">
      <w:r>
        <w:t>RMSE = 92 cfs</w:t>
      </w:r>
    </w:p>
    <w:p w:rsidR="0054340F" w:rsidRDefault="0054340F" w:rsidP="0054340F">
      <w:r>
        <w:t>Eqn: Asotin = 0.16*Imnaha</w:t>
      </w:r>
    </w:p>
    <w:p w:rsidR="0054340F" w:rsidRDefault="0054340F" w:rsidP="0054340F">
      <w:r>
        <w:t>Row in ‘flow_eqn_config_lsr_fullrouting.csv’ file:</w:t>
      </w:r>
    </w:p>
    <w:p w:rsidR="0054340F" w:rsidRDefault="0054340F" w:rsidP="0054340F">
      <w:r w:rsidRPr="007238EC">
        <w:rPr>
          <w:noProof/>
        </w:rPr>
        <w:drawing>
          <wp:inline distT="0" distB="0" distL="0" distR="0" wp14:anchorId="6C683C52" wp14:editId="75DF0F3F">
            <wp:extent cx="5943600" cy="2911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91144"/>
                    </a:xfrm>
                    <a:prstGeom prst="rect">
                      <a:avLst/>
                    </a:prstGeom>
                    <a:noFill/>
                    <a:ln>
                      <a:noFill/>
                    </a:ln>
                  </pic:spPr>
                </pic:pic>
              </a:graphicData>
            </a:graphic>
          </wp:inline>
        </w:drawing>
      </w:r>
    </w:p>
    <w:p w:rsidR="00B044D1" w:rsidRDefault="00B044D1" w:rsidP="0054340F">
      <w:r>
        <w:br w:type="page"/>
      </w:r>
    </w:p>
    <w:p w:rsidR="00B044D1" w:rsidRDefault="00B044D1" w:rsidP="00B044D1">
      <w:pPr>
        <w:pStyle w:val="Heading1"/>
      </w:pPr>
      <w:r>
        <w:lastRenderedPageBreak/>
        <w:t>Appendix B: HecMath Functions</w:t>
      </w:r>
    </w:p>
    <w:p w:rsidR="00B044D1" w:rsidRDefault="00B044D1" w:rsidP="00B044D1">
      <w:pPr>
        <w:pStyle w:val="Heading2"/>
      </w:pPr>
      <w:r>
        <w:t>Lag</w:t>
      </w:r>
    </w:p>
    <w:p w:rsidR="00B044D1" w:rsidRDefault="00B044D1" w:rsidP="00B044D1">
      <w:r>
        <w:t>The lag function is defined in Ch. 8 of the DSSVue Manual</w:t>
      </w:r>
      <w:r w:rsidR="008A7F73">
        <w:t xml:space="preserve"> (available in DSSVue install in ‘Users Manual’ folder)</w:t>
      </w:r>
      <w:r>
        <w:t>, section 8.15.119:</w:t>
      </w:r>
    </w:p>
    <w:p w:rsidR="00B044D1" w:rsidRDefault="00B044D1" w:rsidP="00B044D1">
      <w:r w:rsidRPr="00B044D1">
        <w:drawing>
          <wp:inline distT="0" distB="0" distL="0" distR="0" wp14:anchorId="6857F4CE" wp14:editId="7E617BAE">
            <wp:extent cx="5943600" cy="1842448"/>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3605"/>
                    <a:stretch/>
                  </pic:blipFill>
                  <pic:spPr bwMode="auto">
                    <a:xfrm>
                      <a:off x="0" y="0"/>
                      <a:ext cx="5943600" cy="1842448"/>
                    </a:xfrm>
                    <a:prstGeom prst="rect">
                      <a:avLst/>
                    </a:prstGeom>
                    <a:ln>
                      <a:noFill/>
                    </a:ln>
                    <a:extLst>
                      <a:ext uri="{53640926-AAD7-44D8-BBD7-CCE9431645EC}">
                        <a14:shadowObscured xmlns:a14="http://schemas.microsoft.com/office/drawing/2010/main"/>
                      </a:ext>
                    </a:extLst>
                  </pic:spPr>
                </pic:pic>
              </a:graphicData>
            </a:graphic>
          </wp:inline>
        </w:drawing>
      </w:r>
    </w:p>
    <w:p w:rsidR="00B044D1" w:rsidRDefault="00B044D1" w:rsidP="00B044D1">
      <w:r w:rsidRPr="00B044D1">
        <w:drawing>
          <wp:inline distT="0" distB="0" distL="0" distR="0" wp14:anchorId="2462FD8E" wp14:editId="74C1C37A">
            <wp:extent cx="5943600" cy="14681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689" t="4183" r="689" b="-4183"/>
                    <a:stretch/>
                  </pic:blipFill>
                  <pic:spPr>
                    <a:xfrm>
                      <a:off x="0" y="0"/>
                      <a:ext cx="5943600" cy="1468120"/>
                    </a:xfrm>
                    <a:prstGeom prst="rect">
                      <a:avLst/>
                    </a:prstGeom>
                  </pic:spPr>
                </pic:pic>
              </a:graphicData>
            </a:graphic>
          </wp:inline>
        </w:drawing>
      </w:r>
    </w:p>
    <w:p w:rsidR="00B044D1" w:rsidRDefault="00B044D1" w:rsidP="00B044D1">
      <w:r>
        <w:t>To apply lag to an ESP trace in the flow modifier, the column “var*_fns” associated with the time series to shift would include the following (if lagging by one hour):</w:t>
      </w:r>
    </w:p>
    <w:p w:rsidR="00B044D1" w:rsidRDefault="00B044D1" w:rsidP="00B044D1">
      <w:pPr>
        <w:ind w:firstLine="720"/>
      </w:pPr>
      <w:r>
        <w:t>shiftInTime</w:t>
      </w:r>
      <w:r w:rsidR="0007536B">
        <w:t xml:space="preserve"> str</w:t>
      </w:r>
      <w:r>
        <w:t xml:space="preserve"> “1H”</w:t>
      </w:r>
    </w:p>
    <w:p w:rsidR="00143710" w:rsidRDefault="00143710" w:rsidP="00143710">
      <w:pPr>
        <w:pStyle w:val="Heading1"/>
      </w:pPr>
      <w:r>
        <w:t>Appendix C: Adding Scripts to CAVI</w:t>
      </w:r>
    </w:p>
    <w:p w:rsidR="00143710" w:rsidRDefault="00143710" w:rsidP="00143710">
      <w:r>
        <w:t>The CAVI allows users to add scripts to either be ran in the compute sequence, or by click of a button.</w:t>
      </w:r>
    </w:p>
    <w:p w:rsidR="00143710" w:rsidRDefault="00AF1F0A" w:rsidP="00AF1F0A">
      <w:pPr>
        <w:pStyle w:val="Heading2"/>
      </w:pPr>
      <w:r>
        <w:t>Running Script in Compute Sequence</w:t>
      </w:r>
    </w:p>
    <w:p w:rsidR="00AF1F0A" w:rsidRPr="00AF1F0A" w:rsidRDefault="00AF1F0A" w:rsidP="00AF1F0A"/>
    <w:sectPr w:rsidR="00AF1F0A" w:rsidRPr="00AF1F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2B3A" w:rsidRDefault="00D12B3A" w:rsidP="00F46433">
      <w:pPr>
        <w:spacing w:after="0" w:line="240" w:lineRule="auto"/>
      </w:pPr>
      <w:r>
        <w:separator/>
      </w:r>
    </w:p>
  </w:endnote>
  <w:endnote w:type="continuationSeparator" w:id="0">
    <w:p w:rsidR="00D12B3A" w:rsidRDefault="00D12B3A" w:rsidP="00F46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54710214"/>
      <w:docPartObj>
        <w:docPartGallery w:val="Page Numbers (Bottom of Page)"/>
        <w:docPartUnique/>
      </w:docPartObj>
    </w:sdtPr>
    <w:sdtEndPr>
      <w:rPr>
        <w:noProof/>
      </w:rPr>
    </w:sdtEndPr>
    <w:sdtContent>
      <w:p w:rsidR="00007617" w:rsidRDefault="00007617">
        <w:pPr>
          <w:pStyle w:val="Footer"/>
          <w:jc w:val="center"/>
        </w:pPr>
        <w:r>
          <w:fldChar w:fldCharType="begin"/>
        </w:r>
        <w:r>
          <w:instrText xml:space="preserve"> PAGE   \* MERGEFORMAT </w:instrText>
        </w:r>
        <w:r>
          <w:fldChar w:fldCharType="separate"/>
        </w:r>
        <w:r w:rsidR="00B12C3C">
          <w:rPr>
            <w:noProof/>
          </w:rPr>
          <w:t>19</w:t>
        </w:r>
        <w:r>
          <w:rPr>
            <w:noProof/>
          </w:rPr>
          <w:fldChar w:fldCharType="end"/>
        </w:r>
      </w:p>
    </w:sdtContent>
  </w:sdt>
  <w:p w:rsidR="00007617" w:rsidRDefault="0000761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2B3A" w:rsidRDefault="00D12B3A" w:rsidP="00F46433">
      <w:pPr>
        <w:spacing w:after="0" w:line="240" w:lineRule="auto"/>
      </w:pPr>
      <w:r>
        <w:separator/>
      </w:r>
    </w:p>
  </w:footnote>
  <w:footnote w:type="continuationSeparator" w:id="0">
    <w:p w:rsidR="00D12B3A" w:rsidRDefault="00D12B3A" w:rsidP="00F4643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AB7FA4"/>
    <w:multiLevelType w:val="multilevel"/>
    <w:tmpl w:val="25E880F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00C1FEB"/>
    <w:multiLevelType w:val="hybridMultilevel"/>
    <w:tmpl w:val="5D7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39E"/>
    <w:rsid w:val="000004FD"/>
    <w:rsid w:val="00007617"/>
    <w:rsid w:val="00050EF7"/>
    <w:rsid w:val="0007536B"/>
    <w:rsid w:val="00082F08"/>
    <w:rsid w:val="0009547D"/>
    <w:rsid w:val="000A19E5"/>
    <w:rsid w:val="000A73ED"/>
    <w:rsid w:val="000B1207"/>
    <w:rsid w:val="000E07FD"/>
    <w:rsid w:val="000E089B"/>
    <w:rsid w:val="00114759"/>
    <w:rsid w:val="00116A7E"/>
    <w:rsid w:val="001209F8"/>
    <w:rsid w:val="00121CB6"/>
    <w:rsid w:val="00132C24"/>
    <w:rsid w:val="00143710"/>
    <w:rsid w:val="00160ED1"/>
    <w:rsid w:val="001662FA"/>
    <w:rsid w:val="00182081"/>
    <w:rsid w:val="00184BB4"/>
    <w:rsid w:val="001863D8"/>
    <w:rsid w:val="001865CD"/>
    <w:rsid w:val="00190BAB"/>
    <w:rsid w:val="001B652B"/>
    <w:rsid w:val="001C4F42"/>
    <w:rsid w:val="001E4F9E"/>
    <w:rsid w:val="001F7E3D"/>
    <w:rsid w:val="00226B2B"/>
    <w:rsid w:val="00245095"/>
    <w:rsid w:val="0026265B"/>
    <w:rsid w:val="0026352C"/>
    <w:rsid w:val="0026641C"/>
    <w:rsid w:val="002B337E"/>
    <w:rsid w:val="002B7856"/>
    <w:rsid w:val="002E7384"/>
    <w:rsid w:val="002F5C6B"/>
    <w:rsid w:val="003042BD"/>
    <w:rsid w:val="0036077A"/>
    <w:rsid w:val="00385168"/>
    <w:rsid w:val="0039540E"/>
    <w:rsid w:val="003A651C"/>
    <w:rsid w:val="003B157B"/>
    <w:rsid w:val="003B4CB2"/>
    <w:rsid w:val="003D311E"/>
    <w:rsid w:val="003E73D6"/>
    <w:rsid w:val="00402C3C"/>
    <w:rsid w:val="00436D67"/>
    <w:rsid w:val="00462A73"/>
    <w:rsid w:val="00470A5D"/>
    <w:rsid w:val="00473F03"/>
    <w:rsid w:val="0048032B"/>
    <w:rsid w:val="00493341"/>
    <w:rsid w:val="00494F12"/>
    <w:rsid w:val="004B152E"/>
    <w:rsid w:val="004E01E8"/>
    <w:rsid w:val="004F4AD4"/>
    <w:rsid w:val="00504144"/>
    <w:rsid w:val="0051557A"/>
    <w:rsid w:val="00522815"/>
    <w:rsid w:val="00524050"/>
    <w:rsid w:val="00524D37"/>
    <w:rsid w:val="005355D9"/>
    <w:rsid w:val="0054340F"/>
    <w:rsid w:val="00584ACD"/>
    <w:rsid w:val="00592F54"/>
    <w:rsid w:val="00597558"/>
    <w:rsid w:val="005B56B5"/>
    <w:rsid w:val="005F47D3"/>
    <w:rsid w:val="00632BFD"/>
    <w:rsid w:val="00656AC5"/>
    <w:rsid w:val="00660DD6"/>
    <w:rsid w:val="006736BD"/>
    <w:rsid w:val="00675020"/>
    <w:rsid w:val="006D7D8E"/>
    <w:rsid w:val="006E37FF"/>
    <w:rsid w:val="006F1EC4"/>
    <w:rsid w:val="006F3FB2"/>
    <w:rsid w:val="007028D4"/>
    <w:rsid w:val="00707F1C"/>
    <w:rsid w:val="007238EC"/>
    <w:rsid w:val="00724871"/>
    <w:rsid w:val="00735191"/>
    <w:rsid w:val="0073717A"/>
    <w:rsid w:val="0074670B"/>
    <w:rsid w:val="00774DB1"/>
    <w:rsid w:val="00775D57"/>
    <w:rsid w:val="0078739E"/>
    <w:rsid w:val="00790FDA"/>
    <w:rsid w:val="007C0E2D"/>
    <w:rsid w:val="007D082D"/>
    <w:rsid w:val="007F1495"/>
    <w:rsid w:val="0080249A"/>
    <w:rsid w:val="008213E2"/>
    <w:rsid w:val="00823540"/>
    <w:rsid w:val="00823AFC"/>
    <w:rsid w:val="00830219"/>
    <w:rsid w:val="00866576"/>
    <w:rsid w:val="00874A5A"/>
    <w:rsid w:val="00880D41"/>
    <w:rsid w:val="00883B8A"/>
    <w:rsid w:val="00884496"/>
    <w:rsid w:val="008A044C"/>
    <w:rsid w:val="008A15A6"/>
    <w:rsid w:val="008A7F73"/>
    <w:rsid w:val="008B5238"/>
    <w:rsid w:val="008B619C"/>
    <w:rsid w:val="008B7613"/>
    <w:rsid w:val="008C53B9"/>
    <w:rsid w:val="008D13A8"/>
    <w:rsid w:val="008E31BF"/>
    <w:rsid w:val="008F5872"/>
    <w:rsid w:val="008F665B"/>
    <w:rsid w:val="008F766E"/>
    <w:rsid w:val="00904116"/>
    <w:rsid w:val="009344F5"/>
    <w:rsid w:val="0095161F"/>
    <w:rsid w:val="00954AA1"/>
    <w:rsid w:val="00965F65"/>
    <w:rsid w:val="009A0705"/>
    <w:rsid w:val="009B3FDE"/>
    <w:rsid w:val="009B5CEB"/>
    <w:rsid w:val="009C5F0E"/>
    <w:rsid w:val="009D56DD"/>
    <w:rsid w:val="009E3777"/>
    <w:rsid w:val="00A13EC1"/>
    <w:rsid w:val="00A3059A"/>
    <w:rsid w:val="00A33EB4"/>
    <w:rsid w:val="00A410F3"/>
    <w:rsid w:val="00A432AD"/>
    <w:rsid w:val="00A5260A"/>
    <w:rsid w:val="00A533AB"/>
    <w:rsid w:val="00A55F9B"/>
    <w:rsid w:val="00A809D6"/>
    <w:rsid w:val="00A85BA3"/>
    <w:rsid w:val="00AD02FA"/>
    <w:rsid w:val="00AD17DA"/>
    <w:rsid w:val="00AE1DE9"/>
    <w:rsid w:val="00AE514A"/>
    <w:rsid w:val="00AF1A56"/>
    <w:rsid w:val="00AF1F0A"/>
    <w:rsid w:val="00B014D7"/>
    <w:rsid w:val="00B044D1"/>
    <w:rsid w:val="00B12C3C"/>
    <w:rsid w:val="00B32DEF"/>
    <w:rsid w:val="00B531FD"/>
    <w:rsid w:val="00B60A3A"/>
    <w:rsid w:val="00B73E13"/>
    <w:rsid w:val="00B74B66"/>
    <w:rsid w:val="00B93721"/>
    <w:rsid w:val="00B95C3D"/>
    <w:rsid w:val="00BA7D17"/>
    <w:rsid w:val="00BB3344"/>
    <w:rsid w:val="00BC2454"/>
    <w:rsid w:val="00BD487D"/>
    <w:rsid w:val="00BD6F65"/>
    <w:rsid w:val="00BF2F97"/>
    <w:rsid w:val="00BF3F82"/>
    <w:rsid w:val="00BF56C0"/>
    <w:rsid w:val="00C00300"/>
    <w:rsid w:val="00C134FB"/>
    <w:rsid w:val="00C357D1"/>
    <w:rsid w:val="00C3686E"/>
    <w:rsid w:val="00C56701"/>
    <w:rsid w:val="00C60768"/>
    <w:rsid w:val="00C70F7E"/>
    <w:rsid w:val="00C92F7C"/>
    <w:rsid w:val="00CA1B10"/>
    <w:rsid w:val="00CA1C69"/>
    <w:rsid w:val="00CC5321"/>
    <w:rsid w:val="00CE24E4"/>
    <w:rsid w:val="00CF1903"/>
    <w:rsid w:val="00CF6DEC"/>
    <w:rsid w:val="00D01BD9"/>
    <w:rsid w:val="00D07A41"/>
    <w:rsid w:val="00D12B3A"/>
    <w:rsid w:val="00D17151"/>
    <w:rsid w:val="00D24DAA"/>
    <w:rsid w:val="00D40303"/>
    <w:rsid w:val="00D8166D"/>
    <w:rsid w:val="00D831D3"/>
    <w:rsid w:val="00D846CD"/>
    <w:rsid w:val="00D87A54"/>
    <w:rsid w:val="00D93C07"/>
    <w:rsid w:val="00DC0AAD"/>
    <w:rsid w:val="00DC27EF"/>
    <w:rsid w:val="00DC3B35"/>
    <w:rsid w:val="00DC5A5C"/>
    <w:rsid w:val="00DC7C5C"/>
    <w:rsid w:val="00DE277C"/>
    <w:rsid w:val="00DF7B24"/>
    <w:rsid w:val="00E10BB2"/>
    <w:rsid w:val="00E15E4D"/>
    <w:rsid w:val="00E16774"/>
    <w:rsid w:val="00E25127"/>
    <w:rsid w:val="00E45810"/>
    <w:rsid w:val="00E45AEB"/>
    <w:rsid w:val="00E65E12"/>
    <w:rsid w:val="00E75500"/>
    <w:rsid w:val="00E76907"/>
    <w:rsid w:val="00E938E7"/>
    <w:rsid w:val="00E95743"/>
    <w:rsid w:val="00E95FD3"/>
    <w:rsid w:val="00EA4B72"/>
    <w:rsid w:val="00EE4466"/>
    <w:rsid w:val="00EF3648"/>
    <w:rsid w:val="00F110AE"/>
    <w:rsid w:val="00F23411"/>
    <w:rsid w:val="00F2367C"/>
    <w:rsid w:val="00F31147"/>
    <w:rsid w:val="00F431C4"/>
    <w:rsid w:val="00F46433"/>
    <w:rsid w:val="00F53370"/>
    <w:rsid w:val="00F55DF9"/>
    <w:rsid w:val="00F75100"/>
    <w:rsid w:val="00F84EB3"/>
    <w:rsid w:val="00FB36E7"/>
    <w:rsid w:val="00FC28DA"/>
    <w:rsid w:val="00FC3797"/>
    <w:rsid w:val="00FE095A"/>
    <w:rsid w:val="00FE0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C6E684-4D2A-437B-BF16-3746EF7E4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1CB6"/>
  </w:style>
  <w:style w:type="paragraph" w:styleId="Heading1">
    <w:name w:val="heading 1"/>
    <w:basedOn w:val="Normal"/>
    <w:next w:val="Normal"/>
    <w:link w:val="Heading1Char"/>
    <w:uiPriority w:val="9"/>
    <w:qFormat/>
    <w:rsid w:val="00CE24E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F766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4030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B74B6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54340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4E4"/>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78739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39E"/>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F766E"/>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unhideWhenUsed/>
    <w:rsid w:val="008F7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F766E"/>
    <w:rPr>
      <w:rFonts w:ascii="Courier New" w:eastAsia="Times New Roman" w:hAnsi="Courier New" w:cs="Courier New"/>
      <w:sz w:val="20"/>
      <w:szCs w:val="20"/>
    </w:rPr>
  </w:style>
  <w:style w:type="character" w:customStyle="1" w:styleId="gnkrckgcgsb">
    <w:name w:val="gnkrckgcgsb"/>
    <w:basedOn w:val="DefaultParagraphFont"/>
    <w:rsid w:val="008F766E"/>
  </w:style>
  <w:style w:type="character" w:customStyle="1" w:styleId="Heading3Char">
    <w:name w:val="Heading 3 Char"/>
    <w:basedOn w:val="DefaultParagraphFont"/>
    <w:link w:val="Heading3"/>
    <w:uiPriority w:val="9"/>
    <w:rsid w:val="00D40303"/>
    <w:rPr>
      <w:rFonts w:asciiTheme="majorHAnsi" w:eastAsiaTheme="majorEastAsia" w:hAnsiTheme="majorHAnsi" w:cstheme="majorBidi"/>
      <w:color w:val="1F4D78" w:themeColor="accent1" w:themeShade="7F"/>
      <w:sz w:val="24"/>
      <w:szCs w:val="24"/>
    </w:rPr>
  </w:style>
  <w:style w:type="paragraph" w:styleId="Caption">
    <w:name w:val="caption"/>
    <w:basedOn w:val="Normal"/>
    <w:next w:val="Normal"/>
    <w:uiPriority w:val="35"/>
    <w:unhideWhenUsed/>
    <w:qFormat/>
    <w:rsid w:val="00D87A54"/>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B74B66"/>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1E4F9E"/>
    <w:rPr>
      <w:color w:val="0563C1" w:themeColor="hyperlink"/>
      <w:u w:val="single"/>
    </w:rPr>
  </w:style>
  <w:style w:type="paragraph" w:styleId="Header">
    <w:name w:val="header"/>
    <w:basedOn w:val="Normal"/>
    <w:link w:val="HeaderChar"/>
    <w:uiPriority w:val="99"/>
    <w:unhideWhenUsed/>
    <w:rsid w:val="00F464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6433"/>
  </w:style>
  <w:style w:type="paragraph" w:styleId="Footer">
    <w:name w:val="footer"/>
    <w:basedOn w:val="Normal"/>
    <w:link w:val="FooterChar"/>
    <w:uiPriority w:val="99"/>
    <w:unhideWhenUsed/>
    <w:rsid w:val="00F464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6433"/>
  </w:style>
  <w:style w:type="character" w:customStyle="1" w:styleId="Heading5Char">
    <w:name w:val="Heading 5 Char"/>
    <w:basedOn w:val="DefaultParagraphFont"/>
    <w:link w:val="Heading5"/>
    <w:uiPriority w:val="9"/>
    <w:rsid w:val="0054340F"/>
    <w:rPr>
      <w:rFonts w:asciiTheme="majorHAnsi" w:eastAsiaTheme="majorEastAsia" w:hAnsiTheme="majorHAnsi" w:cstheme="majorBidi"/>
      <w:color w:val="2E74B5" w:themeColor="accent1" w:themeShade="BF"/>
    </w:rPr>
  </w:style>
  <w:style w:type="paragraph" w:styleId="ListParagraph">
    <w:name w:val="List Paragraph"/>
    <w:basedOn w:val="Normal"/>
    <w:uiPriority w:val="34"/>
    <w:qFormat/>
    <w:rsid w:val="00FC37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2529165">
      <w:bodyDiv w:val="1"/>
      <w:marLeft w:val="0"/>
      <w:marRight w:val="0"/>
      <w:marTop w:val="0"/>
      <w:marBottom w:val="0"/>
      <w:divBdr>
        <w:top w:val="none" w:sz="0" w:space="0" w:color="auto"/>
        <w:left w:val="none" w:sz="0" w:space="0" w:color="auto"/>
        <w:bottom w:val="none" w:sz="0" w:space="0" w:color="auto"/>
        <w:right w:val="none" w:sz="0" w:space="0" w:color="auto"/>
      </w:divBdr>
    </w:div>
    <w:div w:id="440565197">
      <w:bodyDiv w:val="1"/>
      <w:marLeft w:val="0"/>
      <w:marRight w:val="0"/>
      <w:marTop w:val="0"/>
      <w:marBottom w:val="0"/>
      <w:divBdr>
        <w:top w:val="none" w:sz="0" w:space="0" w:color="auto"/>
        <w:left w:val="none" w:sz="0" w:space="0" w:color="auto"/>
        <w:bottom w:val="none" w:sz="0" w:space="0" w:color="auto"/>
        <w:right w:val="none" w:sz="0" w:space="0" w:color="auto"/>
      </w:divBdr>
    </w:div>
    <w:div w:id="1684354575">
      <w:bodyDiv w:val="1"/>
      <w:marLeft w:val="0"/>
      <w:marRight w:val="0"/>
      <w:marTop w:val="0"/>
      <w:marBottom w:val="0"/>
      <w:divBdr>
        <w:top w:val="none" w:sz="0" w:space="0" w:color="auto"/>
        <w:left w:val="none" w:sz="0" w:space="0" w:color="auto"/>
        <w:bottom w:val="none" w:sz="0" w:space="0" w:color="auto"/>
        <w:right w:val="none" w:sz="0" w:space="0" w:color="auto"/>
      </w:divBdr>
    </w:div>
    <w:div w:id="1835146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ossWickham/cwms_esp" TargetMode="External"/><Relationship Id="rId13" Type="http://schemas.openxmlformats.org/officeDocument/2006/relationships/footer" Target="footer1.xml"/><Relationship Id="rId18" Type="http://schemas.openxmlformats.org/officeDocument/2006/relationships/image" Target="media/image9.emf"/><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emf"/><Relationship Id="rId25" Type="http://schemas.openxmlformats.org/officeDocument/2006/relationships/image" Target="media/image16.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emf"/><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8AB481-7C27-4B54-AD66-E2EEB0EB4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541</TotalTime>
  <Pages>19</Pages>
  <Words>2314</Words>
  <Characters>13192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15476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Wickham, Ross S CIV (US)</dc:creator>
  <cp:keywords/>
  <dc:description/>
  <cp:lastModifiedBy>Wickham, Ross S CIV (US)</cp:lastModifiedBy>
  <cp:revision>125</cp:revision>
  <dcterms:created xsi:type="dcterms:W3CDTF">2019-10-31T23:21:00Z</dcterms:created>
  <dcterms:modified xsi:type="dcterms:W3CDTF">2019-11-05T19:45:00Z</dcterms:modified>
</cp:coreProperties>
</file>