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</w:pPr>
      <w:r>
        <w:t>功能系统架构与开发顺序</w:t>
      </w:r>
    </w:p>
    <w:p>
      <w:pPr>
        <w:pStyle w:val="Heading2"/>
        <w:widowControl/>
      </w:pPr>
      <w:r>
        <w:t>功能分工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814"/>
        <w:gridCol w:w="3830"/>
        <w:gridCol w:w="3701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管理什么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交出什么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A1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入口与导航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开始、暂停、返回、退出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当前界面与可用操作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A2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游戏设置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音量、静音、动态偏好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已生效的设置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A3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存档与读档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已发生进度的保存与恢复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可继续的原进度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A4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声音播放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音乐、环境声、音效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对应的声音表现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B1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调查探索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实际位置、地点检查、摸猫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到达机会、新发现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B2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材料与记录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持有材料、版本、历史来源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材料、原话、推论依据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B3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交谈与质问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本轮选材、判断、收下与继续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本轮回应、说法变化、推论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B4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案件推进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全案、位置事件、分支、结局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开放内容与案件进度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C1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剧情演出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内容播放与阅读控制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对白、事件、结局演出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C2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场景呈现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棋盘、背景、交互入口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位置与调查反馈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C3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卡牌与界面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卡面、查阅与选材表现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可见材料与操作状态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C4</w:t>
            </w:r>
          </w:p>
        </w:tc>
        <w:tc>
          <w:tcPr>
            <w:tcW w:type="dxa" w:w="181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结果反馈</w:t>
            </w:r>
          </w:p>
        </w:tc>
        <w:tc>
          <w:tcPr>
            <w:tcW w:type="dxa" w:w="3830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核验、事件与摸猫的表现</w:t>
            </w:r>
          </w:p>
        </w:tc>
        <w:tc>
          <w:tcPr>
            <w:tcW w:type="dxa" w:w="3701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对应结果的可见反馈</w:t>
            </w:r>
          </w:p>
        </w:tc>
      </w:tr>
    </w:tbl>
    <w:p>
      <w:pPr>
        <w:pStyle w:val="Caption"/>
        <w:widowControl/>
        <w:spacing w:after="0"/>
      </w:pPr>
    </w:p>
    <w:p>
      <w:pPr>
        <w:widowControl/>
      </w:pPr>
      <w:r>
        <w:t>引擎：Godot。编号与架构图一致；具体实现由主程序确定。</w:t>
      </w:r>
    </w:p>
    <w:p>
      <w:pPr>
        <w:pStyle w:val="Heading1"/>
        <w:pageBreakBefore/>
        <w:widowControl/>
      </w:pPr>
      <w:r>
        <w:t>先行任务</w:t>
      </w:r>
    </w:p>
    <w:p>
      <w:pPr>
        <w:widowControl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072640"/>
            <wp:docPr id="1" name="Picture 1" descr="游戏设置、基础存读和摸猫互动的输入与首轮成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先行任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widowControl/>
      </w:pPr>
      <w:r>
        <w:t>程序与策划并行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464"/>
        <w:gridCol w:w="4219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阶段</w:t>
            </w:r>
          </w:p>
        </w:tc>
        <w:tc>
          <w:tcPr>
            <w:tcW w:type="dxa" w:w="446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程序先接通</w:t>
            </w:r>
          </w:p>
        </w:tc>
        <w:tc>
          <w:tcPr>
            <w:tcW w:type="dxa" w:w="4219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主策同期写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基础可用</w:t>
            </w:r>
          </w:p>
        </w:tc>
        <w:tc>
          <w:tcPr>
            <w:tcW w:type="dxa" w:w="446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设置、基础存读、摸猫；导航、声音、剧情播放</w:t>
            </w:r>
          </w:p>
        </w:tc>
        <w:tc>
          <w:tcPr>
            <w:tcW w:type="dxa" w:w="4219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共用入口、返回、设置和保存规则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首段可玩</w:t>
            </w:r>
          </w:p>
        </w:tc>
        <w:tc>
          <w:tcPr>
            <w:tcW w:type="dxa" w:w="446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材料收藏、棋盘调查、普通问话、选材操作</w:t>
            </w:r>
          </w:p>
        </w:tc>
        <w:tc>
          <w:tcPr>
            <w:tcW w:type="dxa" w:w="4219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首段地点、材料、原话、首题依据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首段闭环</w:t>
            </w:r>
          </w:p>
        </w:tc>
        <w:tc>
          <w:tcPr>
            <w:tcW w:type="dxa" w:w="446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核验回应、推论收下、位置事件、进度承接</w:t>
            </w:r>
          </w:p>
        </w:tc>
        <w:tc>
          <w:tcPr>
            <w:tcW w:type="dxa" w:w="4219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事件完成与返回、首段分支、中断规则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全案扩充</w:t>
            </w:r>
          </w:p>
        </w:tc>
        <w:tc>
          <w:tcPr>
            <w:tcW w:type="dxa" w:w="4464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正式内容、分支结局、对应恢复范围</w:t>
            </w:r>
          </w:p>
        </w:tc>
        <w:tc>
          <w:tcPr>
            <w:tcW w:type="dxa" w:w="4219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完整案件、事件和结局内容</w:t>
            </w:r>
          </w:p>
        </w:tc>
      </w:tr>
    </w:tbl>
    <w:p>
      <w:pPr>
        <w:pStyle w:val="Caption"/>
        <w:widowControl/>
        <w:spacing w:after="0"/>
      </w:pPr>
    </w:p>
    <w:p>
      <w:pPr>
        <w:pStyle w:val="Heading2"/>
        <w:widowControl/>
      </w:pPr>
      <w:r>
        <w:t>首轮范围</w:t>
      </w:r>
    </w:p>
    <w:p>
      <w:pPr>
        <w:widowControl/>
      </w:pPr>
      <w:r>
        <w:t>先做一段可保存、可恢复的小流程。猫的位置与素材可以用明确标注的样例。</w:t>
      </w:r>
    </w:p>
    <w:p>
      <w:pPr>
        <w:pStyle w:val="Heading1"/>
        <w:pageBreakBefore/>
        <w:widowControl/>
      </w:pPr>
      <w:r>
        <w:t>开发顺序</w:t>
      </w:r>
    </w:p>
    <w:p>
      <w:pPr>
        <w:widowControl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5806035"/>
            <wp:docPr id="2" name="Picture 2" descr="开发前置的实线依赖和位置事件按内容选用的虚线依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开发顺序与依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0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widowControl/>
      </w:pPr>
      <w:r>
        <w:t>首段验收</w:t>
      </w:r>
    </w:p>
    <w:p>
      <w:pPr>
        <w:widowControl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706880"/>
            <wp:docPr id="3" name="Picture 3" descr="阅读、收下、继续分别完成；收下时入库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推论三个动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523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检查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通过条件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没有材料时普通问话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能得到原话，并返回原问题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材料超过五份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全部可查；筛选翻页保留本轮选择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一份出示／两份不足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一份可提交；不足后保留选择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人物修正说法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当前话更新；旧话与原依据可回查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收下新推论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只入库一次；来源不消耗；不跳页切筛选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位置事件重访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按重访规则承接，不重复给同一成果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允许的节点保存并读取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恢复原阶段，不重发材料或重触发事件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2"/>
              </w:rPr>
              <w:t>静音／减弱动态</w:t>
            </w:r>
          </w:p>
        </w:tc>
        <w:tc>
          <w:tcPr>
            <w:tcW w:type="dxa" w:w="6523"/>
            <w:vAlign w:val="center"/>
            <w:tcMar>
              <w:top w:w="125" w:type="dxa"/>
              <w:left w:w="135" w:type="dxa"/>
              <w:bottom w:w="12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2"/>
              </w:rPr>
              <w:t>仍能看懂结果并完成操作</w:t>
            </w:r>
          </w:p>
        </w:tc>
      </w:tr>
    </w:tbl>
    <w:p>
      <w:pPr>
        <w:pStyle w:val="Caption"/>
        <w:widowControl/>
        <w:spacing w:after="0"/>
      </w:pPr>
    </w:p>
    <w:p>
      <w:pPr>
        <w:pStyle w:val="Heading1"/>
        <w:pageBreakBefore/>
        <w:widowControl/>
      </w:pPr>
      <w:r>
        <w:t>待定事项与剧情输入</w:t>
      </w:r>
    </w:p>
    <w:p>
      <w:pPr>
        <w:pStyle w:val="Heading2"/>
        <w:widowControl/>
      </w:pPr>
      <w:r>
        <w:t>先定这些规则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1"/>
        <w:gridCol w:w="5414"/>
      </w:tblGrid>
      <w:tr>
        <w:trPr>
          <w:cantSplit/>
          <w:tblHeader/>
        </w:trPr>
        <w:tc>
          <w:tcPr>
            <w:tcW w:type="dxa" w:w="4781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5414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影响的功能</w:t>
            </w:r>
          </w:p>
        </w:tc>
      </w:tr>
      <w:tr>
        <w:trPr>
          <w:cantSplit/>
        </w:trPr>
        <w:tc>
          <w:tcPr>
            <w:tcW w:type="dxa" w:w="4781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棋盘与地点调查如何进出</w:t>
            </w:r>
          </w:p>
        </w:tc>
        <w:tc>
          <w:tcPr>
            <w:tcW w:type="dxa" w:w="5414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B1 调查、B4 事件、A3 恢复</w:t>
            </w:r>
          </w:p>
        </w:tc>
      </w:tr>
      <w:tr>
        <w:trPr>
          <w:cantSplit/>
        </w:trPr>
        <w:tc>
          <w:tcPr>
            <w:tcW w:type="dxa" w:w="4781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位置事件由到达还是交互触发</w:t>
            </w:r>
          </w:p>
        </w:tc>
        <w:tc>
          <w:tcPr>
            <w:tcW w:type="dxa" w:w="5414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B1 入口、B4 位置事件</w:t>
            </w:r>
          </w:p>
        </w:tc>
      </w:tr>
      <w:tr>
        <w:trPr>
          <w:cantSplit/>
        </w:trPr>
        <w:tc>
          <w:tcPr>
            <w:tcW w:type="dxa" w:w="4781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质问和事件何时允许离开或保存</w:t>
            </w:r>
          </w:p>
        </w:tc>
        <w:tc>
          <w:tcPr>
            <w:tcW w:type="dxa" w:w="5414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A1 导航、A3 存读、B3／B4</w:t>
            </w:r>
          </w:p>
        </w:tc>
      </w:tr>
      <w:tr>
        <w:trPr>
          <w:cantSplit/>
        </w:trPr>
        <w:tc>
          <w:tcPr>
            <w:tcW w:type="dxa" w:w="4781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材料分类与首题的充分依据</w:t>
            </w:r>
          </w:p>
        </w:tc>
        <w:tc>
          <w:tcPr>
            <w:tcW w:type="dxa" w:w="5414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B2 材料、B3 质问</w:t>
            </w:r>
          </w:p>
        </w:tc>
      </w:tr>
      <w:tr>
        <w:trPr>
          <w:cantSplit/>
        </w:trPr>
        <w:tc>
          <w:tcPr>
            <w:tcW w:type="dxa" w:w="4781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分支与结局条件、进入时机</w:t>
            </w:r>
          </w:p>
        </w:tc>
        <w:tc>
          <w:tcPr>
            <w:tcW w:type="dxa" w:w="5414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B4 案件推进、C1 演出、A3 恢复</w:t>
            </w:r>
          </w:p>
        </w:tc>
      </w:tr>
      <w:tr>
        <w:trPr>
          <w:cantSplit/>
        </w:trPr>
        <w:tc>
          <w:tcPr>
            <w:tcW w:type="dxa" w:w="4781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首发平台与输入覆盖</w:t>
            </w:r>
          </w:p>
        </w:tc>
        <w:tc>
          <w:tcPr>
            <w:tcW w:type="dxa" w:w="5414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A1 导航及各操作入口</w:t>
            </w:r>
          </w:p>
        </w:tc>
      </w:tr>
    </w:tbl>
    <w:p>
      <w:pPr>
        <w:pStyle w:val="Caption"/>
        <w:widowControl/>
        <w:spacing w:after="0"/>
      </w:pPr>
    </w:p>
    <w:p>
      <w:pPr>
        <w:pStyle w:val="Heading2"/>
        <w:widowControl/>
      </w:pPr>
      <w:r>
        <w:t>候选功能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523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候选</w:t>
            </w:r>
          </w:p>
        </w:tc>
        <w:tc>
          <w:tcPr>
            <w:tcW w:type="dxa" w:w="6523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若采用，主要归属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操作说明／教程回看</w:t>
            </w:r>
          </w:p>
        </w:tc>
        <w:tc>
          <w:tcPr>
            <w:tcW w:type="dxa" w:w="6523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A1 入口与导航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人物资料</w:t>
            </w:r>
          </w:p>
        </w:tc>
        <w:tc>
          <w:tcPr>
            <w:tcW w:type="dxa" w:w="6523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B2 材料与记录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调查记录／待解问题回查</w:t>
            </w:r>
          </w:p>
        </w:tc>
        <w:tc>
          <w:tcPr>
            <w:tcW w:type="dxa" w:w="6523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C3 展示；B2／B4 提供记录与进度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推理提示</w:t>
            </w:r>
          </w:p>
        </w:tc>
        <w:tc>
          <w:tcPr>
            <w:tcW w:type="dxa" w:w="6523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B3 当前问题；B4 可透露范围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不可信／误导材料</w:t>
            </w:r>
          </w:p>
        </w:tc>
        <w:tc>
          <w:tcPr>
            <w:tcW w:type="dxa" w:w="6523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B2 内容；B3 判断；B4 后续影响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线索墙</w:t>
            </w:r>
          </w:p>
        </w:tc>
        <w:tc>
          <w:tcPr>
            <w:tcW w:type="dxa" w:w="6523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9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B2 材料查阅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21"/>
              </w:rPr>
              <w:t>专门回溯／跨周目继承</w:t>
            </w:r>
          </w:p>
        </w:tc>
        <w:tc>
          <w:tcPr>
            <w:tcW w:type="dxa" w:w="6523"/>
            <w:vAlign w:val="center"/>
            <w:tcMar>
              <w:top w:w="65" w:type="dxa"/>
              <w:left w:w="135" w:type="dxa"/>
              <w:bottom w:w="65" w:type="dxa"/>
              <w:right w:w="13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000000"/>
                <w:sz w:val="21"/>
              </w:rPr>
              <w:t>B4 回退与开放；A3 恢复；B2 信息保留</w:t>
            </w:r>
          </w:p>
        </w:tc>
      </w:tr>
    </w:tbl>
    <w:p>
      <w:pPr>
        <w:pStyle w:val="Caption"/>
        <w:widowControl/>
        <w:spacing w:after="0"/>
      </w:pPr>
    </w:p>
    <w:p>
      <w:pPr>
        <w:widowControl/>
      </w:pPr>
      <w:r>
        <w:t>剧情输入：正式地点、人物话题、材料与原话、事件正文、分支与结局。</w:t>
      </w:r>
    </w:p>
    <w:sectPr w:rsidR="00FC693F" w:rsidRPr="0006063C" w:rsidSect="00034616">
      <w:footerReference w:type="default" r:id="rId9"/>
      <w:pgSz w:w="12240" w:h="15840"/>
      <w:pgMar w:top="792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80" w:line="288" w:lineRule="auto"/>
    </w:pPr>
    <w:rPr>
      <w:rFonts w:ascii="Noto Sans CJK SC" w:hAnsi="Noto Sans CJK SC" w:eastAsia="Noto Sans CJK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1" w:lineRule="auto"/>
      <w:outlineLvl w:val="0"/>
    </w:pPr>
    <w:rPr>
      <w:rFonts w:ascii="Noto Sans CJK SC" w:hAnsi="Noto Sans CJK SC" w:eastAsia="Noto Sans CJK SC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81" w:lineRule="auto"/>
      <w:outlineLvl w:val="1"/>
    </w:pPr>
    <w:rPr>
      <w:rFonts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1" w:lineRule="auto"/>
      <w:contextualSpacing/>
    </w:pPr>
    <w:rPr>
      <w:rFonts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140" w:line="281" w:lineRule="auto"/>
    </w:pPr>
    <w:rPr>
      <w:rFonts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81" w:lineRule="auto" w:after="140"/>
    </w:pPr>
    <w:rPr>
      <w:rFonts w:ascii="Noto Sans CJK SC" w:hAnsi="Noto Sans CJK SC" w:eastAsia="Noto Sans CJK SC"/>
      <w:b w:val="0"/>
      <w:bCs/>
      <w:color w:val="4A5659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功能系统架构与开发顺序</dc:title>
  <dc:subject>功能归属 开发依赖 并行推进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