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C8FC" w14:textId="77777777" w:rsidR="006B566E" w:rsidRPr="006B566E" w:rsidRDefault="006B566E" w:rsidP="007467D4">
      <w:pPr>
        <w:widowControl/>
        <w:spacing w:before="120" w:line="240" w:lineRule="auto"/>
        <w:jc w:val="center"/>
        <w:rPr>
          <w:rFonts w:ascii="Arial" w:eastAsia="Calibri" w:hAnsi="Arial" w:cs="Arial"/>
          <w:b/>
          <w:sz w:val="22"/>
          <w:szCs w:val="22"/>
          <w:lang w:eastAsia="en-US"/>
        </w:rPr>
      </w:pPr>
      <w:r w:rsidRPr="006B566E">
        <w:rPr>
          <w:rFonts w:ascii="Arial" w:eastAsia="Calibri" w:hAnsi="Arial" w:cs="Arial"/>
          <w:b/>
          <w:sz w:val="22"/>
          <w:szCs w:val="22"/>
          <w:lang w:eastAsia="en-US"/>
        </w:rPr>
        <w:t>Monitoramento ou expropriação? as relações entre controle acionário, conselho de administração e diretoria executiva nas empresas brasileiras de capital aberto</w:t>
      </w:r>
      <w:r w:rsidR="00C662DC" w:rsidRPr="007467D4">
        <w:rPr>
          <w:rStyle w:val="Refdenotaderodap"/>
          <w:rFonts w:ascii="Arial" w:eastAsia="Calibri" w:hAnsi="Arial" w:cs="Arial"/>
          <w:b/>
          <w:sz w:val="22"/>
          <w:szCs w:val="22"/>
          <w:lang w:eastAsia="en-US"/>
        </w:rPr>
        <w:footnoteReference w:id="1"/>
      </w:r>
    </w:p>
    <w:p w14:paraId="627565AE" w14:textId="77777777" w:rsidR="006B566E" w:rsidRPr="006B566E" w:rsidRDefault="00C662DC" w:rsidP="007467D4">
      <w:pPr>
        <w:widowControl/>
        <w:spacing w:after="360" w:line="240" w:lineRule="auto"/>
        <w:jc w:val="center"/>
        <w:rPr>
          <w:rFonts w:ascii="Arial" w:eastAsia="Calibri" w:hAnsi="Arial" w:cs="Arial"/>
          <w:sz w:val="20"/>
          <w:szCs w:val="20"/>
          <w:lang w:eastAsia="en-US"/>
        </w:rPr>
      </w:pPr>
      <w:r w:rsidRPr="007467D4">
        <w:rPr>
          <w:rFonts w:ascii="Arial" w:eastAsia="Calibri" w:hAnsi="Arial" w:cs="Arial"/>
          <w:b/>
          <w:sz w:val="20"/>
          <w:szCs w:val="20"/>
          <w:lang w:eastAsia="en-US"/>
        </w:rPr>
        <w:t xml:space="preserve">DOI: </w:t>
      </w:r>
      <w:r w:rsidRPr="007467D4">
        <w:rPr>
          <w:rFonts w:ascii="Arial" w:eastAsia="Calibri" w:hAnsi="Arial" w:cs="Arial"/>
          <w:sz w:val="20"/>
          <w:szCs w:val="20"/>
          <w:lang w:eastAsia="en-US"/>
        </w:rPr>
        <w:t>10.4025/enfoque.v43i1.62199</w:t>
      </w:r>
    </w:p>
    <w:tbl>
      <w:tblPr>
        <w:tblW w:w="0" w:type="auto"/>
        <w:jc w:val="center"/>
        <w:tblCellMar>
          <w:left w:w="0" w:type="dxa"/>
          <w:right w:w="0" w:type="dxa"/>
        </w:tblCellMar>
        <w:tblLook w:val="01E0" w:firstRow="1" w:lastRow="1" w:firstColumn="1" w:lastColumn="1" w:noHBand="0" w:noVBand="0"/>
      </w:tblPr>
      <w:tblGrid>
        <w:gridCol w:w="2722"/>
        <w:gridCol w:w="2721"/>
        <w:gridCol w:w="2722"/>
      </w:tblGrid>
      <w:tr w:rsidR="00A33AF3" w:rsidRPr="00283E43" w14:paraId="3A05C18F" w14:textId="77777777" w:rsidTr="006B566E">
        <w:trPr>
          <w:jc w:val="center"/>
        </w:trPr>
        <w:tc>
          <w:tcPr>
            <w:tcW w:w="8165" w:type="dxa"/>
            <w:gridSpan w:val="3"/>
            <w:shd w:val="clear" w:color="auto" w:fill="auto"/>
            <w:vAlign w:val="center"/>
          </w:tcPr>
          <w:p w14:paraId="4CCAA0E6" w14:textId="77777777" w:rsidR="00C662DC" w:rsidRPr="00283E43" w:rsidRDefault="00C662DC" w:rsidP="00C662DC">
            <w:pPr>
              <w:widowControl/>
              <w:spacing w:line="240" w:lineRule="auto"/>
              <w:jc w:val="center"/>
              <w:rPr>
                <w:rFonts w:ascii="Arial" w:hAnsi="Arial" w:cs="Arial"/>
                <w:b/>
                <w:sz w:val="14"/>
                <w:szCs w:val="14"/>
              </w:rPr>
            </w:pPr>
            <w:r w:rsidRPr="00283E43">
              <w:rPr>
                <w:rFonts w:ascii="Arial" w:hAnsi="Arial" w:cs="Arial"/>
                <w:b/>
                <w:sz w:val="14"/>
                <w:szCs w:val="14"/>
              </w:rPr>
              <w:t>Isac de Freitas Brandão</w:t>
            </w:r>
            <w:r w:rsidR="007467D4">
              <w:rPr>
                <w:rFonts w:ascii="Arial" w:hAnsi="Arial" w:cs="Arial"/>
                <w:b/>
                <w:noProof/>
                <w:sz w:val="14"/>
                <w:szCs w:val="14"/>
              </w:rPr>
              <w:drawing>
                <wp:inline distT="0" distB="0" distL="0" distR="0" wp14:anchorId="396BA0B3" wp14:editId="7100BF87">
                  <wp:extent cx="103505" cy="103505"/>
                  <wp:effectExtent l="0" t="0" r="0" b="0"/>
                  <wp:docPr id="1" name="Imagem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505" cy="103505"/>
                          </a:xfrm>
                          <a:prstGeom prst="rect">
                            <a:avLst/>
                          </a:prstGeom>
                          <a:noFill/>
                        </pic:spPr>
                      </pic:pic>
                    </a:graphicData>
                  </a:graphic>
                </wp:inline>
              </w:drawing>
            </w:r>
          </w:p>
          <w:p w14:paraId="148B657C" w14:textId="77777777" w:rsidR="00C662DC" w:rsidRPr="007467D4" w:rsidRDefault="00C662DC" w:rsidP="00C662DC">
            <w:pPr>
              <w:widowControl/>
              <w:spacing w:line="240" w:lineRule="auto"/>
              <w:jc w:val="center"/>
              <w:rPr>
                <w:rFonts w:ascii="Arial" w:hAnsi="Arial" w:cs="Arial"/>
                <w:sz w:val="14"/>
                <w:szCs w:val="14"/>
              </w:rPr>
            </w:pPr>
            <w:r w:rsidRPr="007467D4">
              <w:rPr>
                <w:rFonts w:ascii="Arial" w:hAnsi="Arial" w:cs="Arial"/>
                <w:sz w:val="14"/>
                <w:szCs w:val="14"/>
              </w:rPr>
              <w:t>Doutor em Administração e Controladoria (Universidade Federal do Ceará – UFC)</w:t>
            </w:r>
          </w:p>
          <w:p w14:paraId="42C0F5ED" w14:textId="77777777" w:rsidR="00C662DC" w:rsidRPr="007467D4" w:rsidRDefault="00C662DC" w:rsidP="00C662DC">
            <w:pPr>
              <w:widowControl/>
              <w:spacing w:line="240" w:lineRule="auto"/>
              <w:jc w:val="center"/>
              <w:rPr>
                <w:rFonts w:ascii="Arial" w:hAnsi="Arial" w:cs="Arial"/>
                <w:sz w:val="14"/>
                <w:szCs w:val="14"/>
              </w:rPr>
            </w:pPr>
            <w:r w:rsidRPr="007467D4">
              <w:rPr>
                <w:rFonts w:ascii="Arial" w:hAnsi="Arial" w:cs="Arial"/>
                <w:sz w:val="14"/>
                <w:szCs w:val="14"/>
              </w:rPr>
              <w:t>Professor do Instituto Federal de Educação, Ciência e Tecnologia do Ceará – IFCE</w:t>
            </w:r>
          </w:p>
          <w:p w14:paraId="7FA7618E" w14:textId="77777777" w:rsidR="00A33AF3" w:rsidRDefault="00C662DC" w:rsidP="00C662DC">
            <w:pPr>
              <w:widowControl/>
              <w:spacing w:line="240" w:lineRule="auto"/>
              <w:jc w:val="center"/>
              <w:rPr>
                <w:rFonts w:ascii="Arial" w:hAnsi="Arial" w:cs="Arial"/>
                <w:sz w:val="14"/>
                <w:szCs w:val="14"/>
              </w:rPr>
            </w:pPr>
            <w:r w:rsidRPr="007467D4">
              <w:rPr>
                <w:rFonts w:ascii="Arial" w:hAnsi="Arial" w:cs="Arial"/>
                <w:sz w:val="14"/>
                <w:szCs w:val="14"/>
              </w:rPr>
              <w:t xml:space="preserve">E-mail: </w:t>
            </w:r>
            <w:r w:rsidR="007467D4" w:rsidRPr="007467D4">
              <w:rPr>
                <w:rFonts w:ascii="Arial" w:hAnsi="Arial" w:cs="Arial"/>
                <w:sz w:val="14"/>
                <w:szCs w:val="14"/>
              </w:rPr>
              <w:t>isac.freitas@ifce.edu.br</w:t>
            </w:r>
          </w:p>
          <w:p w14:paraId="53568A55" w14:textId="77777777" w:rsidR="007467D4" w:rsidRPr="00283E43" w:rsidRDefault="007467D4" w:rsidP="00C662DC">
            <w:pPr>
              <w:widowControl/>
              <w:spacing w:line="240" w:lineRule="auto"/>
              <w:jc w:val="center"/>
              <w:rPr>
                <w:rFonts w:ascii="Arial" w:hAnsi="Arial" w:cs="Arial"/>
                <w:b/>
                <w:sz w:val="14"/>
                <w:szCs w:val="14"/>
              </w:rPr>
            </w:pPr>
          </w:p>
        </w:tc>
      </w:tr>
      <w:tr w:rsidR="00A33AF3" w:rsidRPr="00283E43" w14:paraId="0D756A76" w14:textId="77777777" w:rsidTr="006B566E">
        <w:trPr>
          <w:jc w:val="center"/>
        </w:trPr>
        <w:tc>
          <w:tcPr>
            <w:tcW w:w="2722" w:type="dxa"/>
            <w:shd w:val="clear" w:color="auto" w:fill="auto"/>
            <w:vAlign w:val="center"/>
          </w:tcPr>
          <w:p w14:paraId="09DF6D42" w14:textId="77777777" w:rsidR="00A33AF3" w:rsidRPr="00283E43" w:rsidRDefault="00C662DC" w:rsidP="00FB7DC1">
            <w:pPr>
              <w:spacing w:line="240" w:lineRule="auto"/>
              <w:jc w:val="center"/>
              <w:rPr>
                <w:rFonts w:ascii="Arial" w:hAnsi="Arial" w:cs="Arial"/>
                <w:sz w:val="14"/>
                <w:szCs w:val="14"/>
              </w:rPr>
            </w:pPr>
            <w:r w:rsidRPr="00283E43">
              <w:rPr>
                <w:rFonts w:ascii="Arial" w:hAnsi="Arial" w:cs="Arial"/>
                <w:sz w:val="14"/>
                <w:szCs w:val="14"/>
              </w:rPr>
              <w:t xml:space="preserve">Recebido em: 22.01.2022 </w:t>
            </w:r>
          </w:p>
        </w:tc>
        <w:tc>
          <w:tcPr>
            <w:tcW w:w="2721" w:type="dxa"/>
            <w:shd w:val="clear" w:color="auto" w:fill="auto"/>
            <w:vAlign w:val="center"/>
          </w:tcPr>
          <w:p w14:paraId="5B6F3C71" w14:textId="77777777" w:rsidR="00A33AF3" w:rsidRPr="00283E43" w:rsidRDefault="00C662DC" w:rsidP="00FB7DC1">
            <w:pPr>
              <w:spacing w:line="240" w:lineRule="auto"/>
              <w:jc w:val="center"/>
              <w:rPr>
                <w:rFonts w:ascii="Arial" w:hAnsi="Arial" w:cs="Arial"/>
                <w:b/>
                <w:sz w:val="14"/>
                <w:szCs w:val="14"/>
              </w:rPr>
            </w:pPr>
            <w:r w:rsidRPr="00283E43">
              <w:rPr>
                <w:rFonts w:ascii="Arial" w:hAnsi="Arial" w:cs="Arial"/>
                <w:sz w:val="14"/>
                <w:szCs w:val="14"/>
              </w:rPr>
              <w:t xml:space="preserve">Aceito em: 17.05.2022  </w:t>
            </w:r>
          </w:p>
        </w:tc>
        <w:tc>
          <w:tcPr>
            <w:tcW w:w="2722" w:type="dxa"/>
            <w:shd w:val="clear" w:color="auto" w:fill="auto"/>
            <w:vAlign w:val="center"/>
          </w:tcPr>
          <w:p w14:paraId="556E8F1F" w14:textId="77777777" w:rsidR="00A33AF3" w:rsidRPr="00283E43" w:rsidRDefault="00C662DC" w:rsidP="00A33AF3">
            <w:pPr>
              <w:spacing w:line="240" w:lineRule="auto"/>
              <w:jc w:val="center"/>
              <w:rPr>
                <w:rFonts w:ascii="Arial" w:hAnsi="Arial" w:cs="Arial"/>
                <w:b/>
                <w:sz w:val="14"/>
                <w:szCs w:val="14"/>
              </w:rPr>
            </w:pPr>
            <w:r w:rsidRPr="00283E43">
              <w:rPr>
                <w:rFonts w:ascii="Arial" w:hAnsi="Arial" w:cs="Arial"/>
                <w:sz w:val="14"/>
                <w:szCs w:val="14"/>
              </w:rPr>
              <w:t>2ª versão aceita em:  05.07.2022</w:t>
            </w:r>
          </w:p>
        </w:tc>
      </w:tr>
    </w:tbl>
    <w:p w14:paraId="6C81EE4E" w14:textId="77777777" w:rsidR="006B566E" w:rsidRPr="00FF6996" w:rsidRDefault="006B566E" w:rsidP="00BE17C1">
      <w:pPr>
        <w:keepNext/>
        <w:keepLines/>
        <w:widowControl/>
        <w:spacing w:before="360" w:line="240" w:lineRule="auto"/>
        <w:outlineLvl w:val="0"/>
        <w:rPr>
          <w:rFonts w:ascii="Arial" w:hAnsi="Arial" w:cs="Arial"/>
          <w:b/>
          <w:sz w:val="18"/>
          <w:szCs w:val="18"/>
          <w:lang w:val="x-none" w:eastAsia="x-none"/>
        </w:rPr>
      </w:pPr>
      <w:bookmarkStart w:id="0" w:name="_Toc39830488"/>
      <w:r w:rsidRPr="00FF6996">
        <w:rPr>
          <w:rFonts w:ascii="Arial" w:hAnsi="Arial" w:cs="Arial"/>
          <w:b/>
          <w:sz w:val="18"/>
          <w:szCs w:val="18"/>
          <w:lang w:val="x-none" w:eastAsia="x-none"/>
        </w:rPr>
        <w:t>RESUMO</w:t>
      </w:r>
      <w:bookmarkEnd w:id="0"/>
    </w:p>
    <w:p w14:paraId="4FA02471" w14:textId="77777777" w:rsidR="006B566E" w:rsidRPr="006B566E" w:rsidRDefault="006B566E" w:rsidP="00F509CA">
      <w:pPr>
        <w:widowControl/>
        <w:spacing w:before="240" w:line="240" w:lineRule="auto"/>
        <w:rPr>
          <w:rFonts w:ascii="Arial" w:eastAsia="Calibri" w:hAnsi="Arial" w:cs="Arial"/>
          <w:sz w:val="18"/>
          <w:szCs w:val="18"/>
          <w:lang w:eastAsia="en-US"/>
        </w:rPr>
      </w:pPr>
      <w:r w:rsidRPr="006B566E">
        <w:rPr>
          <w:rFonts w:ascii="Arial" w:eastAsia="Calibri" w:hAnsi="Arial" w:cs="Arial"/>
          <w:b/>
          <w:sz w:val="18"/>
          <w:szCs w:val="18"/>
          <w:lang w:eastAsia="en-US"/>
        </w:rPr>
        <w:t xml:space="preserve">Objetivo: </w:t>
      </w:r>
      <w:r w:rsidRPr="006B566E">
        <w:rPr>
          <w:rFonts w:ascii="Arial" w:eastAsia="Calibri" w:hAnsi="Arial" w:cs="Arial"/>
          <w:sz w:val="18"/>
          <w:szCs w:val="18"/>
          <w:lang w:eastAsia="en-US"/>
        </w:rPr>
        <w:t>Analisou-se as relações entre controle acionário, conselho de administração e diretoria executiva nas empresas brasileiras de capital aberto, e verificou-se se a relação das características do conselho de administração e diretoria executiva com o valor dessas empresas depende do tipo de controle acionário.</w:t>
      </w:r>
    </w:p>
    <w:p w14:paraId="4DA2D180" w14:textId="77777777" w:rsidR="006B566E" w:rsidRPr="006B566E" w:rsidRDefault="006B566E" w:rsidP="00F509CA">
      <w:pPr>
        <w:widowControl/>
        <w:spacing w:line="240" w:lineRule="auto"/>
        <w:rPr>
          <w:rFonts w:ascii="Arial" w:eastAsia="Calibri" w:hAnsi="Arial" w:cs="Arial"/>
          <w:sz w:val="18"/>
          <w:szCs w:val="18"/>
          <w:lang w:eastAsia="en-US"/>
        </w:rPr>
      </w:pPr>
      <w:r w:rsidRPr="006B566E">
        <w:rPr>
          <w:rFonts w:ascii="Arial" w:eastAsia="Calibri" w:hAnsi="Arial" w:cs="Arial"/>
          <w:b/>
          <w:sz w:val="18"/>
          <w:szCs w:val="18"/>
          <w:lang w:eastAsia="en-US"/>
        </w:rPr>
        <w:t xml:space="preserve">Originalidade/Relevância: </w:t>
      </w:r>
      <w:r w:rsidRPr="006B566E">
        <w:rPr>
          <w:rFonts w:ascii="Arial" w:eastAsia="Calibri" w:hAnsi="Arial" w:cs="Arial"/>
          <w:sz w:val="18"/>
          <w:szCs w:val="18"/>
          <w:lang w:eastAsia="en-US"/>
        </w:rPr>
        <w:t xml:space="preserve">Em um mercado caracterizado por empresas com controle acionário definido, o trabalho avança na literatura em Governança Corporativa ao identificar como o tipo de controle acionário está relacionado com as características dos órgãos de administração e como a sobreposição entre propriedade e administração se relaciona com o valor da empresa brasileira.  </w:t>
      </w:r>
    </w:p>
    <w:p w14:paraId="7A4BFC27" w14:textId="77777777" w:rsidR="006B566E" w:rsidRPr="00ED1A0B" w:rsidRDefault="006B566E" w:rsidP="00F509CA">
      <w:pPr>
        <w:widowControl/>
        <w:spacing w:line="240" w:lineRule="auto"/>
        <w:rPr>
          <w:rFonts w:ascii="Arial" w:eastAsia="Calibri" w:hAnsi="Arial" w:cs="Arial"/>
          <w:spacing w:val="-4"/>
          <w:sz w:val="18"/>
          <w:szCs w:val="18"/>
          <w:lang w:eastAsia="en-US"/>
        </w:rPr>
      </w:pPr>
      <w:r w:rsidRPr="00ED1A0B">
        <w:rPr>
          <w:rFonts w:ascii="Arial" w:eastAsia="Calibri" w:hAnsi="Arial" w:cs="Arial"/>
          <w:b/>
          <w:spacing w:val="-4"/>
          <w:sz w:val="18"/>
          <w:szCs w:val="18"/>
          <w:lang w:eastAsia="en-US"/>
        </w:rPr>
        <w:t xml:space="preserve">Método: </w:t>
      </w:r>
      <w:r w:rsidRPr="00ED1A0B">
        <w:rPr>
          <w:rFonts w:ascii="Arial" w:eastAsia="Calibri" w:hAnsi="Arial" w:cs="Arial"/>
          <w:spacing w:val="-4"/>
          <w:sz w:val="18"/>
          <w:szCs w:val="18"/>
          <w:lang w:eastAsia="en-US"/>
        </w:rPr>
        <w:t>A amostra foi composta por</w:t>
      </w:r>
      <w:r w:rsidRPr="00ED1A0B">
        <w:rPr>
          <w:rFonts w:ascii="Arial" w:eastAsia="Calibri" w:hAnsi="Arial" w:cs="Arial"/>
          <w:b/>
          <w:spacing w:val="-4"/>
          <w:sz w:val="18"/>
          <w:szCs w:val="18"/>
          <w:lang w:eastAsia="en-US"/>
        </w:rPr>
        <w:t xml:space="preserve"> </w:t>
      </w:r>
      <w:r w:rsidRPr="00ED1A0B">
        <w:rPr>
          <w:rFonts w:ascii="Arial" w:eastAsia="Calibri" w:hAnsi="Arial" w:cs="Arial"/>
          <w:spacing w:val="-4"/>
          <w:sz w:val="18"/>
          <w:szCs w:val="18"/>
          <w:lang w:eastAsia="en-US"/>
        </w:rPr>
        <w:t xml:space="preserve">741 observações de 281 empresas no período 2018-2020. O controle acionário foi categorizado em disperso, compartilhado, familiar, empresarial e governamental. Por meio de análise de componentes principais identificou-se cinco características da administração: remuneração da diretoria executiva, independência dos administradores, avaliação dos administradores, separação entre conselho de administração e diretoria executiva e remuneração do conselho de administração. Através de estimações em </w:t>
      </w:r>
      <w:r w:rsidRPr="00ED1A0B">
        <w:rPr>
          <w:rFonts w:ascii="Arial" w:eastAsia="Calibri" w:hAnsi="Arial" w:cs="Arial"/>
          <w:i/>
          <w:spacing w:val="-4"/>
          <w:sz w:val="18"/>
          <w:szCs w:val="18"/>
          <w:lang w:eastAsia="en-US"/>
        </w:rPr>
        <w:t>feasible generalized least squares</w:t>
      </w:r>
      <w:r w:rsidRPr="00ED1A0B">
        <w:rPr>
          <w:rFonts w:ascii="Arial" w:eastAsia="Calibri" w:hAnsi="Arial" w:cs="Arial"/>
          <w:spacing w:val="-4"/>
          <w:sz w:val="18"/>
          <w:szCs w:val="18"/>
          <w:lang w:eastAsia="en-US"/>
        </w:rPr>
        <w:t xml:space="preserve"> investigou-se a relação entre controle acionário e características da administração e se o tipo de controle acionário diferencia a relação entre características dos órgãos de administração sobre o valor da empresa.</w:t>
      </w:r>
    </w:p>
    <w:p w14:paraId="50157082" w14:textId="77777777" w:rsidR="006B566E" w:rsidRPr="006B566E" w:rsidRDefault="006B566E" w:rsidP="00F509CA">
      <w:pPr>
        <w:widowControl/>
        <w:spacing w:line="240" w:lineRule="auto"/>
        <w:rPr>
          <w:rFonts w:ascii="Arial" w:eastAsia="Calibri" w:hAnsi="Arial" w:cs="Arial"/>
          <w:sz w:val="18"/>
          <w:szCs w:val="18"/>
          <w:lang w:eastAsia="en-US"/>
        </w:rPr>
      </w:pPr>
      <w:r w:rsidRPr="006B566E">
        <w:rPr>
          <w:rFonts w:ascii="Arial" w:eastAsia="Calibri" w:hAnsi="Arial" w:cs="Arial"/>
          <w:b/>
          <w:sz w:val="18"/>
          <w:szCs w:val="18"/>
          <w:lang w:eastAsia="en-US"/>
        </w:rPr>
        <w:t xml:space="preserve">Resultados: </w:t>
      </w:r>
      <w:r w:rsidRPr="006B566E">
        <w:rPr>
          <w:rFonts w:ascii="Arial" w:eastAsia="Calibri" w:hAnsi="Arial" w:cs="Arial"/>
          <w:sz w:val="18"/>
          <w:szCs w:val="18"/>
          <w:lang w:eastAsia="en-US"/>
        </w:rPr>
        <w:t xml:space="preserve">O tipo de controle acionário está relacionado com as características da administração analisadas, exceto o tipo de remuneração do conselho de administração. </w:t>
      </w:r>
      <w:bookmarkStart w:id="1" w:name="_Hlk107740696"/>
      <w:r w:rsidRPr="006B566E">
        <w:rPr>
          <w:rFonts w:ascii="Arial" w:eastAsia="Calibri" w:hAnsi="Arial" w:cs="Arial"/>
          <w:sz w:val="18"/>
          <w:szCs w:val="18"/>
          <w:lang w:eastAsia="en-US"/>
        </w:rPr>
        <w:t>As cinco características da administração têm relação com o valor das empresas, mas o sinal e a significância destas relações dependem do tipo de controle acionário.</w:t>
      </w:r>
      <w:bookmarkEnd w:id="1"/>
    </w:p>
    <w:p w14:paraId="618A0D4E" w14:textId="77777777" w:rsidR="006B566E" w:rsidRPr="006B566E" w:rsidRDefault="006B566E" w:rsidP="00F509CA">
      <w:pPr>
        <w:widowControl/>
        <w:spacing w:line="240" w:lineRule="auto"/>
        <w:rPr>
          <w:rFonts w:ascii="Arial" w:eastAsia="Calibri" w:hAnsi="Arial" w:cs="Arial"/>
          <w:sz w:val="18"/>
          <w:szCs w:val="18"/>
          <w:lang w:eastAsia="en-US"/>
        </w:rPr>
      </w:pPr>
      <w:r w:rsidRPr="006B566E">
        <w:rPr>
          <w:rFonts w:ascii="Arial" w:eastAsia="Calibri" w:hAnsi="Arial" w:cs="Arial"/>
          <w:b/>
          <w:sz w:val="18"/>
          <w:szCs w:val="18"/>
          <w:lang w:eastAsia="en-US"/>
        </w:rPr>
        <w:t>Contribuições teóricas/metodológicas/práticas:</w:t>
      </w:r>
      <w:r w:rsidRPr="006B566E">
        <w:rPr>
          <w:rFonts w:ascii="Arial" w:eastAsia="Calibri" w:hAnsi="Arial" w:cs="Arial"/>
          <w:sz w:val="18"/>
          <w:szCs w:val="18"/>
          <w:lang w:eastAsia="en-US"/>
        </w:rPr>
        <w:t xml:space="preserve"> Os achados indicam que a sobreposição entre controle acionário, conselho de administração e diretoria executiva está presente nas empresas brasileiras com controle definido e, a depender da identidade dos acionistas controladores, pode ser interpretada por investidores externos como mecanismo de monitoramento ou instrumento que facilita a expropriação da riqueza da empresa.</w:t>
      </w:r>
    </w:p>
    <w:p w14:paraId="082D60A0" w14:textId="77777777" w:rsidR="006B566E" w:rsidRPr="006B566E" w:rsidRDefault="006B566E" w:rsidP="00F509CA">
      <w:pPr>
        <w:widowControl/>
        <w:spacing w:before="240" w:after="480" w:line="240" w:lineRule="auto"/>
        <w:rPr>
          <w:rFonts w:ascii="Arial" w:eastAsia="Calibri" w:hAnsi="Arial" w:cs="Arial"/>
          <w:sz w:val="18"/>
          <w:szCs w:val="18"/>
          <w:lang w:eastAsia="en-US"/>
        </w:rPr>
      </w:pPr>
      <w:r w:rsidRPr="006B566E">
        <w:rPr>
          <w:rFonts w:ascii="Arial" w:eastAsia="Calibri" w:hAnsi="Arial" w:cs="Arial"/>
          <w:b/>
          <w:sz w:val="18"/>
          <w:szCs w:val="18"/>
          <w:lang w:eastAsia="en-US"/>
        </w:rPr>
        <w:t xml:space="preserve">Palavras-chave: </w:t>
      </w:r>
      <w:r w:rsidRPr="006B566E">
        <w:rPr>
          <w:rFonts w:ascii="Arial" w:eastAsia="Calibri" w:hAnsi="Arial" w:cs="Arial"/>
          <w:sz w:val="18"/>
          <w:szCs w:val="18"/>
          <w:lang w:eastAsia="en-US"/>
        </w:rPr>
        <w:t>Estrutura de propriedade</w:t>
      </w:r>
      <w:r w:rsidR="00F509CA" w:rsidRPr="00F509CA">
        <w:rPr>
          <w:rFonts w:ascii="Arial" w:eastAsia="Calibri" w:hAnsi="Arial" w:cs="Arial"/>
          <w:sz w:val="18"/>
          <w:szCs w:val="18"/>
          <w:lang w:eastAsia="en-US"/>
        </w:rPr>
        <w:t>;</w:t>
      </w:r>
      <w:r w:rsidRPr="006B566E">
        <w:rPr>
          <w:rFonts w:ascii="Arial" w:eastAsia="Calibri" w:hAnsi="Arial" w:cs="Arial"/>
          <w:sz w:val="18"/>
          <w:szCs w:val="18"/>
          <w:lang w:eastAsia="en-US"/>
        </w:rPr>
        <w:t xml:space="preserve"> Governança corporativa</w:t>
      </w:r>
      <w:r w:rsidR="00F509CA" w:rsidRPr="00F509CA">
        <w:rPr>
          <w:rFonts w:ascii="Arial" w:eastAsia="Calibri" w:hAnsi="Arial" w:cs="Arial"/>
          <w:sz w:val="18"/>
          <w:szCs w:val="18"/>
          <w:lang w:eastAsia="en-US"/>
        </w:rPr>
        <w:t>;</w:t>
      </w:r>
      <w:r w:rsidRPr="006B566E">
        <w:rPr>
          <w:rFonts w:ascii="Arial" w:eastAsia="Calibri" w:hAnsi="Arial" w:cs="Arial"/>
          <w:sz w:val="18"/>
          <w:szCs w:val="18"/>
          <w:lang w:eastAsia="en-US"/>
        </w:rPr>
        <w:t xml:space="preserve"> Conflitos de agência.</w:t>
      </w:r>
    </w:p>
    <w:p w14:paraId="4FE09432" w14:textId="77777777" w:rsidR="006B566E" w:rsidRPr="006B566E" w:rsidRDefault="006B566E" w:rsidP="00F509CA">
      <w:pPr>
        <w:widowControl/>
        <w:spacing w:after="320" w:line="240" w:lineRule="auto"/>
        <w:jc w:val="center"/>
        <w:rPr>
          <w:rFonts w:ascii="Arial" w:eastAsia="Calibri" w:hAnsi="Arial" w:cs="Arial"/>
          <w:b/>
          <w:i/>
          <w:sz w:val="22"/>
          <w:szCs w:val="22"/>
          <w:lang w:val="en-US" w:eastAsia="en-US"/>
        </w:rPr>
      </w:pPr>
      <w:r w:rsidRPr="006B566E">
        <w:rPr>
          <w:rFonts w:ascii="Arial" w:eastAsia="Calibri" w:hAnsi="Arial" w:cs="Arial"/>
          <w:b/>
          <w:i/>
          <w:sz w:val="22"/>
          <w:szCs w:val="22"/>
          <w:lang w:val="en-US" w:eastAsia="en-US"/>
        </w:rPr>
        <w:t>Monitoring or expropriation? the relations between ownership control, board of directors and executive management team in brazilian publicly traded companies</w:t>
      </w:r>
    </w:p>
    <w:p w14:paraId="75A2133C" w14:textId="77777777" w:rsidR="006B566E" w:rsidRPr="006B566E" w:rsidRDefault="006B566E" w:rsidP="00F509CA">
      <w:pPr>
        <w:widowControl/>
        <w:spacing w:line="240" w:lineRule="auto"/>
        <w:rPr>
          <w:rFonts w:ascii="Arial" w:eastAsia="Calibri" w:hAnsi="Arial" w:cs="Arial"/>
          <w:b/>
          <w:i/>
          <w:iCs/>
          <w:sz w:val="18"/>
          <w:szCs w:val="18"/>
          <w:lang w:val="en-US" w:eastAsia="en-US"/>
        </w:rPr>
      </w:pPr>
      <w:r w:rsidRPr="006B566E">
        <w:rPr>
          <w:rFonts w:ascii="Arial" w:eastAsia="Calibri" w:hAnsi="Arial" w:cs="Arial"/>
          <w:b/>
          <w:i/>
          <w:iCs/>
          <w:sz w:val="18"/>
          <w:szCs w:val="18"/>
          <w:lang w:val="en-US" w:eastAsia="en-US"/>
        </w:rPr>
        <w:t>ABSTRACT</w:t>
      </w:r>
    </w:p>
    <w:p w14:paraId="65C8D32A" w14:textId="77777777" w:rsidR="006B566E" w:rsidRPr="006B566E" w:rsidRDefault="006B566E" w:rsidP="00F509CA">
      <w:pPr>
        <w:widowControl/>
        <w:spacing w:before="240" w:line="240" w:lineRule="auto"/>
        <w:rPr>
          <w:rFonts w:ascii="Arial" w:eastAsia="Calibri" w:hAnsi="Arial" w:cs="Arial"/>
          <w:sz w:val="18"/>
          <w:szCs w:val="18"/>
          <w:lang w:val="en-US" w:eastAsia="en-US"/>
        </w:rPr>
      </w:pPr>
      <w:r w:rsidRPr="006B566E">
        <w:rPr>
          <w:rFonts w:ascii="Arial" w:eastAsia="Calibri" w:hAnsi="Arial" w:cs="Arial"/>
          <w:b/>
          <w:sz w:val="18"/>
          <w:szCs w:val="18"/>
          <w:lang w:val="en-US" w:eastAsia="en-US"/>
        </w:rPr>
        <w:t>Objective:</w:t>
      </w:r>
      <w:r w:rsidRPr="006B566E">
        <w:rPr>
          <w:rFonts w:ascii="Arial" w:eastAsia="Calibri" w:hAnsi="Arial" w:cs="Arial"/>
          <w:sz w:val="18"/>
          <w:szCs w:val="18"/>
          <w:lang w:val="en-US" w:eastAsia="en-US"/>
        </w:rPr>
        <w:t xml:space="preserve"> This study analyzed the relationships among ownership control, board of directors and executive management team in Brazilian publicly traded firms, and verified whether the relationship of the characteristics of the board of directors and executive management team with the value of these firms depends on the type of ownership control.</w:t>
      </w:r>
    </w:p>
    <w:p w14:paraId="6459E186" w14:textId="77777777" w:rsidR="006B566E" w:rsidRPr="006B566E" w:rsidRDefault="006B566E" w:rsidP="00F509CA">
      <w:pPr>
        <w:widowControl/>
        <w:spacing w:line="240" w:lineRule="auto"/>
        <w:rPr>
          <w:rFonts w:ascii="Arial" w:eastAsia="Calibri" w:hAnsi="Arial" w:cs="Arial"/>
          <w:sz w:val="18"/>
          <w:szCs w:val="18"/>
          <w:lang w:val="en-US" w:eastAsia="en-US"/>
        </w:rPr>
      </w:pPr>
      <w:r w:rsidRPr="006B566E">
        <w:rPr>
          <w:rFonts w:ascii="Arial" w:eastAsia="Calibri" w:hAnsi="Arial" w:cs="Arial"/>
          <w:b/>
          <w:sz w:val="18"/>
          <w:szCs w:val="18"/>
          <w:lang w:val="en-US" w:eastAsia="en-US"/>
        </w:rPr>
        <w:lastRenderedPageBreak/>
        <w:t>Originality/Relevance:</w:t>
      </w:r>
      <w:r w:rsidRPr="006B566E">
        <w:rPr>
          <w:rFonts w:ascii="Arial" w:eastAsia="Calibri" w:hAnsi="Arial" w:cs="Arial"/>
          <w:sz w:val="18"/>
          <w:szCs w:val="18"/>
          <w:lang w:val="en-US" w:eastAsia="en-US"/>
        </w:rPr>
        <w:t xml:space="preserve"> In a market characterized by firms with defined shareholder control, this paper advances the Corporate Governance literature by identifying how the type of ownership control is related to the characteristics of the management bodies and how the overlap between ownership and management is related to the Brazilian firms’ value.  </w:t>
      </w:r>
    </w:p>
    <w:p w14:paraId="672DC7C4" w14:textId="77777777" w:rsidR="006B566E" w:rsidRPr="006B566E" w:rsidRDefault="006B566E" w:rsidP="00F509CA">
      <w:pPr>
        <w:widowControl/>
        <w:spacing w:line="240" w:lineRule="auto"/>
        <w:rPr>
          <w:rFonts w:ascii="Arial" w:eastAsia="Calibri" w:hAnsi="Arial" w:cs="Arial"/>
          <w:sz w:val="18"/>
          <w:szCs w:val="18"/>
          <w:lang w:val="en-US" w:eastAsia="en-US"/>
        </w:rPr>
      </w:pPr>
      <w:r w:rsidRPr="006B566E">
        <w:rPr>
          <w:rFonts w:ascii="Arial" w:eastAsia="Calibri" w:hAnsi="Arial" w:cs="Arial"/>
          <w:b/>
          <w:sz w:val="18"/>
          <w:szCs w:val="18"/>
          <w:lang w:val="en-US" w:eastAsia="en-US"/>
        </w:rPr>
        <w:t>Method:</w:t>
      </w:r>
      <w:r w:rsidRPr="006B566E">
        <w:rPr>
          <w:rFonts w:ascii="Arial" w:eastAsia="Calibri" w:hAnsi="Arial" w:cs="Arial"/>
          <w:sz w:val="18"/>
          <w:szCs w:val="18"/>
          <w:lang w:val="en-US" w:eastAsia="en-US"/>
        </w:rPr>
        <w:t xml:space="preserve"> The sample was composed of 741 observations from 281 firms over the period 2018-2020. Ownership control was categorized into dispersed, shared, family, corporate and governmental. Through principal component analysis five characteristics of administration were identified: executive management team compensation, independence of administrators, for evaluating of administrators, separation between board of directors and board of directors’ compensation. Through feasible generalized least squares estimations, it was investigated the relationship between shareholder control and characteristics of administration and whether the type of ownership control differentiates the relationship between characteristics of administration and firm value.</w:t>
      </w:r>
    </w:p>
    <w:p w14:paraId="62558E3B" w14:textId="77777777" w:rsidR="006B566E" w:rsidRPr="006B566E" w:rsidRDefault="006B566E" w:rsidP="00F509CA">
      <w:pPr>
        <w:widowControl/>
        <w:spacing w:line="240" w:lineRule="auto"/>
        <w:rPr>
          <w:rFonts w:ascii="Arial" w:eastAsia="Calibri" w:hAnsi="Arial" w:cs="Arial"/>
          <w:sz w:val="18"/>
          <w:szCs w:val="18"/>
          <w:lang w:val="en-US" w:eastAsia="en-US"/>
        </w:rPr>
      </w:pPr>
      <w:r w:rsidRPr="006B566E">
        <w:rPr>
          <w:rFonts w:ascii="Arial" w:eastAsia="Calibri" w:hAnsi="Arial" w:cs="Arial"/>
          <w:b/>
          <w:sz w:val="18"/>
          <w:szCs w:val="18"/>
          <w:lang w:val="en-US" w:eastAsia="en-US"/>
        </w:rPr>
        <w:t>Results:</w:t>
      </w:r>
      <w:r w:rsidRPr="006B566E">
        <w:rPr>
          <w:rFonts w:ascii="Arial" w:eastAsia="Calibri" w:hAnsi="Arial" w:cs="Arial"/>
          <w:sz w:val="18"/>
          <w:szCs w:val="18"/>
          <w:lang w:val="en-US" w:eastAsia="en-US"/>
        </w:rPr>
        <w:t xml:space="preserve"> The type of ownership control is related to the administration characteristics analyzed, except for the type of compensation of the board of directors. All five management characteristics are related to firm value, but the sign and significance of these relationships depend on the type of shareholder control.</w:t>
      </w:r>
    </w:p>
    <w:p w14:paraId="073E5A15" w14:textId="77777777" w:rsidR="006B566E" w:rsidRPr="006B566E" w:rsidRDefault="006B566E" w:rsidP="00F509CA">
      <w:pPr>
        <w:widowControl/>
        <w:spacing w:line="240" w:lineRule="auto"/>
        <w:rPr>
          <w:rFonts w:ascii="Arial" w:eastAsia="Calibri" w:hAnsi="Arial" w:cs="Arial"/>
          <w:sz w:val="18"/>
          <w:szCs w:val="18"/>
          <w:lang w:val="en-US" w:eastAsia="en-US"/>
        </w:rPr>
      </w:pPr>
      <w:r w:rsidRPr="006B566E">
        <w:rPr>
          <w:rFonts w:ascii="Arial" w:eastAsia="Calibri" w:hAnsi="Arial" w:cs="Arial"/>
          <w:b/>
          <w:sz w:val="18"/>
          <w:szCs w:val="18"/>
          <w:lang w:val="en-US" w:eastAsia="en-US"/>
        </w:rPr>
        <w:t>Theoretical/methodological/practical contributions:</w:t>
      </w:r>
      <w:r w:rsidRPr="006B566E">
        <w:rPr>
          <w:rFonts w:ascii="Arial" w:eastAsia="Calibri" w:hAnsi="Arial" w:cs="Arial"/>
          <w:sz w:val="18"/>
          <w:szCs w:val="18"/>
          <w:lang w:val="en-US" w:eastAsia="en-US"/>
        </w:rPr>
        <w:t xml:space="preserve"> The findings indicate that the overlap between ownership control, board of directors and executive management team is present in Brazilian firms with defined ownership control, and, depending on the identity of controlling shareholders, can be interpreted by outside investors as a monitoring mechanism or an instrument that facilitates the expropriation of the firm's wealth.</w:t>
      </w:r>
    </w:p>
    <w:p w14:paraId="7E1299A3" w14:textId="77777777" w:rsidR="006B566E" w:rsidRPr="006B566E" w:rsidRDefault="006B566E" w:rsidP="00343196">
      <w:pPr>
        <w:widowControl/>
        <w:spacing w:before="240" w:after="480" w:line="240" w:lineRule="auto"/>
        <w:rPr>
          <w:rFonts w:ascii="Arial" w:eastAsia="Calibri" w:hAnsi="Arial" w:cs="Arial"/>
          <w:b/>
          <w:sz w:val="18"/>
          <w:szCs w:val="18"/>
          <w:lang w:val="en-US" w:eastAsia="en-US"/>
        </w:rPr>
      </w:pPr>
      <w:r w:rsidRPr="006B566E">
        <w:rPr>
          <w:rFonts w:ascii="Arial" w:eastAsia="Calibri" w:hAnsi="Arial" w:cs="Arial"/>
          <w:b/>
          <w:i/>
          <w:iCs/>
          <w:sz w:val="18"/>
          <w:szCs w:val="18"/>
          <w:lang w:val="en-US" w:eastAsia="en-US"/>
        </w:rPr>
        <w:t>Keywords</w:t>
      </w:r>
      <w:r w:rsidRPr="006B566E">
        <w:rPr>
          <w:rFonts w:ascii="Arial" w:eastAsia="Calibri" w:hAnsi="Arial" w:cs="Arial"/>
          <w:b/>
          <w:sz w:val="18"/>
          <w:szCs w:val="18"/>
          <w:lang w:val="en-US" w:eastAsia="en-US"/>
        </w:rPr>
        <w:t xml:space="preserve">: </w:t>
      </w:r>
      <w:r w:rsidR="00343196" w:rsidRPr="00343196">
        <w:rPr>
          <w:rFonts w:ascii="Arial" w:eastAsia="Calibri" w:hAnsi="Arial" w:cs="Arial"/>
          <w:sz w:val="18"/>
          <w:szCs w:val="18"/>
          <w:lang w:val="en-US" w:eastAsia="en-US"/>
        </w:rPr>
        <w:t>Ownership structure;</w:t>
      </w:r>
      <w:r w:rsidRPr="006B566E">
        <w:rPr>
          <w:rFonts w:ascii="Arial" w:eastAsia="Calibri" w:hAnsi="Arial" w:cs="Arial"/>
          <w:sz w:val="18"/>
          <w:szCs w:val="18"/>
          <w:lang w:val="en-US" w:eastAsia="en-US"/>
        </w:rPr>
        <w:t xml:space="preserve"> Corporate governance</w:t>
      </w:r>
      <w:r w:rsidR="00343196" w:rsidRPr="00343196">
        <w:rPr>
          <w:rFonts w:ascii="Arial" w:eastAsia="Calibri" w:hAnsi="Arial" w:cs="Arial"/>
          <w:sz w:val="18"/>
          <w:szCs w:val="18"/>
          <w:lang w:val="en-US" w:eastAsia="en-US"/>
        </w:rPr>
        <w:t>;</w:t>
      </w:r>
      <w:r w:rsidRPr="006B566E">
        <w:rPr>
          <w:rFonts w:ascii="Arial" w:eastAsia="Calibri" w:hAnsi="Arial" w:cs="Arial"/>
          <w:sz w:val="18"/>
          <w:szCs w:val="18"/>
          <w:lang w:val="en-US" w:eastAsia="en-US"/>
        </w:rPr>
        <w:t xml:space="preserve"> Agency conflicts.</w:t>
      </w:r>
    </w:p>
    <w:p w14:paraId="2A9D0365" w14:textId="77777777" w:rsidR="006B566E" w:rsidRPr="006B566E" w:rsidRDefault="00343196" w:rsidP="00343196">
      <w:pPr>
        <w:keepNext/>
        <w:keepLines/>
        <w:widowControl/>
        <w:spacing w:before="240" w:after="120" w:line="240" w:lineRule="auto"/>
        <w:outlineLvl w:val="0"/>
        <w:rPr>
          <w:rFonts w:ascii="Arial" w:hAnsi="Arial" w:cs="Arial"/>
          <w:b/>
          <w:sz w:val="20"/>
          <w:szCs w:val="20"/>
          <w:lang w:val="x-none" w:eastAsia="x-none"/>
        </w:rPr>
      </w:pPr>
      <w:bookmarkStart w:id="2" w:name="_Toc39830489"/>
      <w:r w:rsidRPr="00343196">
        <w:rPr>
          <w:rFonts w:ascii="Arial" w:hAnsi="Arial" w:cs="Arial"/>
          <w:b/>
          <w:sz w:val="20"/>
          <w:szCs w:val="20"/>
          <w:lang w:eastAsia="x-none"/>
        </w:rPr>
        <w:t xml:space="preserve">1 </w:t>
      </w:r>
      <w:r w:rsidR="006B566E" w:rsidRPr="006B566E">
        <w:rPr>
          <w:rFonts w:ascii="Arial" w:hAnsi="Arial" w:cs="Arial"/>
          <w:b/>
          <w:sz w:val="20"/>
          <w:szCs w:val="20"/>
          <w:lang w:val="x-none" w:eastAsia="x-none"/>
        </w:rPr>
        <w:t>INTRODUÇÃO</w:t>
      </w:r>
      <w:bookmarkEnd w:id="2"/>
    </w:p>
    <w:p w14:paraId="6497F2DC"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Governança corporativa corresponde ao conjunto de mecanismos pelo qual os investidores externos (</w:t>
      </w:r>
      <w:r w:rsidRPr="006B566E">
        <w:rPr>
          <w:rFonts w:ascii="Arial" w:eastAsia="Calibri" w:hAnsi="Arial" w:cs="Arial"/>
          <w:i/>
          <w:sz w:val="18"/>
          <w:szCs w:val="18"/>
          <w:lang w:eastAsia="en-US"/>
        </w:rPr>
        <w:t>outsiders</w:t>
      </w:r>
      <w:r w:rsidRPr="006B566E">
        <w:rPr>
          <w:rFonts w:ascii="Arial" w:eastAsia="Calibri" w:hAnsi="Arial" w:cs="Arial"/>
          <w:sz w:val="18"/>
          <w:szCs w:val="18"/>
          <w:lang w:eastAsia="en-US"/>
        </w:rPr>
        <w:t xml:space="preserve">) asseguram o adequado retorno de seus investimentos (Shleifer &amp; Vishny, 1997), protegendo estes investidores contra a expropriação de sua riqueza por </w:t>
      </w:r>
      <w:r w:rsidRPr="006B566E">
        <w:rPr>
          <w:rFonts w:ascii="Arial" w:eastAsia="Calibri" w:hAnsi="Arial" w:cs="Arial"/>
          <w:i/>
          <w:sz w:val="18"/>
          <w:szCs w:val="18"/>
          <w:lang w:eastAsia="en-US"/>
        </w:rPr>
        <w:t>insiders</w:t>
      </w:r>
      <w:r w:rsidRPr="006B566E">
        <w:rPr>
          <w:rFonts w:ascii="Arial" w:eastAsia="Calibri" w:hAnsi="Arial" w:cs="Arial"/>
          <w:sz w:val="18"/>
          <w:szCs w:val="18"/>
          <w:lang w:eastAsia="en-US"/>
        </w:rPr>
        <w:t xml:space="preserve"> (Porta, Lopez-de-Silanes, Shleifer, &amp; Vishny, 2000). Inicialmente aplicada no contexto de empresas com capital pulverizado, predominantes nos Estados Unidos e no Reino Unido, a governança corporativa era voltada para conflitos de agência entre acionistas dispersos e gestores. Com a constatação de que na maior parte dos mercados de capitais as empresas predominantemente apresentam acionista controlador, os estudos sobre governança corporativa se voltaram para conflitos de agência entre acionistas controladores e acionistas minoritários (Porta, Lopez-De-Silanes, &amp; Shleifer, 1999; Young, Peng, Ahlstrom, Bruton &amp; Jiang, 2008). </w:t>
      </w:r>
    </w:p>
    <w:p w14:paraId="344CD277" w14:textId="77777777" w:rsidR="006B566E" w:rsidRPr="00ED1A0B" w:rsidRDefault="006B566E" w:rsidP="00E5748B">
      <w:pPr>
        <w:widowControl/>
        <w:spacing w:before="240" w:line="240" w:lineRule="auto"/>
        <w:ind w:firstLine="709"/>
        <w:rPr>
          <w:rFonts w:ascii="Arial" w:eastAsia="Calibri" w:hAnsi="Arial" w:cs="Arial"/>
          <w:spacing w:val="-4"/>
          <w:sz w:val="18"/>
          <w:szCs w:val="18"/>
          <w:lang w:eastAsia="en-US"/>
        </w:rPr>
      </w:pPr>
      <w:r w:rsidRPr="00ED1A0B">
        <w:rPr>
          <w:rFonts w:ascii="Arial" w:eastAsia="Calibri" w:hAnsi="Arial" w:cs="Arial"/>
          <w:spacing w:val="-4"/>
          <w:sz w:val="18"/>
          <w:szCs w:val="18"/>
          <w:lang w:eastAsia="en-US"/>
        </w:rPr>
        <w:t>A eficácia do sistema de governança de uma empresa de capital aberto depende da interação entre propriedade e administração (Rossetti &amp; Andrade, 2012). Em empresas com capital disperso ou pulverizado acionistas têm menor poder e incentivo para monitorar diretamente a gestão (Desender, Aguilera, Crespi, &amp; García</w:t>
      </w:r>
      <w:r w:rsidRPr="00ED1A0B">
        <w:rPr>
          <w:rFonts w:ascii="Cambria Math" w:eastAsia="Calibri" w:hAnsi="Cambria Math" w:cs="Cambria Math"/>
          <w:spacing w:val="-4"/>
          <w:sz w:val="18"/>
          <w:szCs w:val="18"/>
          <w:lang w:eastAsia="en-US"/>
        </w:rPr>
        <w:t>‐</w:t>
      </w:r>
      <w:r w:rsidRPr="00ED1A0B">
        <w:rPr>
          <w:rFonts w:ascii="Arial" w:eastAsia="Calibri" w:hAnsi="Arial" w:cs="Arial"/>
          <w:spacing w:val="-4"/>
          <w:sz w:val="18"/>
          <w:szCs w:val="18"/>
          <w:lang w:eastAsia="en-US"/>
        </w:rPr>
        <w:t>Cestona, 2013), havendo uma separação mais clara entre propriedade e administração (Jensen &amp; Meckling, 1976). Em empresas com acionista controlador, entretanto, normalmente há uma sobreposição entre o acionista controlador e os principais órgãos da administração (Oliveira &amp; Fontes, 2021; Young et al., 2008): o conselho de administração é constituído, em sua maioria, por membros indicados pelo acionista controlador, e há uma tendência de os conselheiros atenderem aos desejos daqueles que os indicaram, incluindo a indicação dos membros da diretoria executiva.</w:t>
      </w:r>
    </w:p>
    <w:p w14:paraId="0232F254"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 sobreposição entre controle acionário e administração pode ser benéfica ou prejudicial à governança corporativa da empresa (Brandão, Vasconcelos, Luca, &amp; Crisóstomo, 2019; Connelly, Hoskisson, Tihanyi, &amp; Certo, 2010): por um lado, pode funcionar como um mecanismo de monitoramento, favorecendo o alinhamento de interesses; por outro lado, pode facilitar a expropriação da riqueza da empresa, sendo utilizada pelo acionista controlador para usufruir de benefícios que não são partilhados com os acionistas minoritários. Neste sentido, a presença de acionista controlador pode ser vista como mecanismo de monitoramento, substituto de outras práticas de governança corporativa (Denis &amp; Mcconnell, 2003; Shleifer &amp; Vishny, 1997), ao passo que acionistas controladores podem enfraquecer a estrutura de governança corporativa da empresa para facilitar o usufruto de benefícios privados do controle (Bozec &amp; Bozec, 2007; Renders &amp; Gaeremynck, 2012).</w:t>
      </w:r>
    </w:p>
    <w:p w14:paraId="778744D9" w14:textId="77777777" w:rsidR="006B566E" w:rsidRPr="00ED1A0B" w:rsidRDefault="006B566E" w:rsidP="00E5748B">
      <w:pPr>
        <w:widowControl/>
        <w:spacing w:before="240" w:line="240" w:lineRule="auto"/>
        <w:ind w:firstLine="709"/>
        <w:rPr>
          <w:rFonts w:ascii="Arial" w:eastAsia="Calibri" w:hAnsi="Arial" w:cs="Arial"/>
          <w:spacing w:val="-4"/>
          <w:sz w:val="18"/>
          <w:szCs w:val="18"/>
          <w:lang w:eastAsia="en-US"/>
        </w:rPr>
      </w:pPr>
      <w:r w:rsidRPr="00ED1A0B">
        <w:rPr>
          <w:rFonts w:ascii="Arial" w:eastAsia="Calibri" w:hAnsi="Arial" w:cs="Arial"/>
          <w:spacing w:val="-4"/>
          <w:sz w:val="18"/>
          <w:szCs w:val="18"/>
          <w:lang w:eastAsia="en-US"/>
        </w:rPr>
        <w:lastRenderedPageBreak/>
        <w:t xml:space="preserve">Especificamente no que tange às características dos órgãos de administração, a presença de acionista controlador pode afetar a composição e </w:t>
      </w:r>
      <w:bookmarkStart w:id="3" w:name="_Hlk107387660"/>
      <w:r w:rsidRPr="00ED1A0B">
        <w:rPr>
          <w:rFonts w:ascii="Arial" w:eastAsia="Calibri" w:hAnsi="Arial" w:cs="Arial"/>
          <w:spacing w:val="-4"/>
          <w:sz w:val="18"/>
          <w:szCs w:val="18"/>
          <w:lang w:eastAsia="en-US"/>
        </w:rPr>
        <w:t>os mecanismos de incentivo do conselho de administração e da diretoria executiva</w:t>
      </w:r>
      <w:bookmarkEnd w:id="3"/>
      <w:r w:rsidRPr="00ED1A0B">
        <w:rPr>
          <w:rFonts w:ascii="Arial" w:eastAsia="Calibri" w:hAnsi="Arial" w:cs="Arial"/>
          <w:spacing w:val="-4"/>
          <w:sz w:val="18"/>
          <w:szCs w:val="18"/>
          <w:lang w:eastAsia="en-US"/>
        </w:rPr>
        <w:t xml:space="preserve"> (Crisóstomo &amp; Brandão, 2019). Detendo maior percentual de direitos de voto, acionistas controladores podem indicar a maior parte dos membros do conselho de administração, influenciando também na indicação dos membros da diretoria executiva (Young et al., 2008). Esta indicação pode afetar a composição dos órgãos de administração, reduzindo a independência do conselho de administração em relação ao acionista controlador e à diretoria executiva (Brandão et al., 2019). A influência dos acionistas controladores sobre conselho de administração e diretoria executiva também pode estar relacionada à ausência de mecanismos de incentivo do conselho de administração e da diretoria executiva (Crisóstomo &amp; Brandão, 2019), seja porque o monitoramento exercido por acionistas controladores substitui estes mecanismos, seja porque a ausência destes mecanismos facilita o usufruto de benefícios privados do controle (Bozec &amp; Bozec, 2007).</w:t>
      </w:r>
    </w:p>
    <w:p w14:paraId="1B692BDA"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No mercado de capitais brasileiro a propriedade das empresas é predominantemente concentrada, observando-se empresas controladas por famílias, governos, grupos corporativos e acordos de acionistas, além de empresas sem acionista controlador (Crisóstomo &amp; Brandão, 2019). A literatura empírica recente, embora com resultados divergentes, tem apontado que a presença e o tipo de acionista controlador são fatores que podem explicar características  do conselho de administração e da diretoria executiva das empresas brasileiras, como composição, tipo de remuneração, mandato e presença de avaliação formal (</w:t>
      </w:r>
      <w:r w:rsidRPr="006B566E">
        <w:rPr>
          <w:rFonts w:ascii="Arial" w:hAnsi="Arial" w:cs="Arial"/>
          <w:color w:val="222222"/>
          <w:sz w:val="18"/>
          <w:szCs w:val="18"/>
        </w:rPr>
        <w:t xml:space="preserve">Adam, Tene, Mucci, &amp; Beck, 2020; </w:t>
      </w:r>
      <w:r w:rsidRPr="006B566E">
        <w:rPr>
          <w:rFonts w:ascii="Arial" w:eastAsia="Calibri" w:hAnsi="Arial" w:cs="Arial"/>
          <w:sz w:val="18"/>
          <w:szCs w:val="18"/>
          <w:lang w:eastAsia="en-US"/>
        </w:rPr>
        <w:t>Andrade, Bressan, &amp; Iquiapaza, 2014; 2017; Correia, Amaral, &amp; Louvet, 2014a; 2014b; Crisóstomo &amp; Brandão, 2019; Ermel &amp; Monte, 2018; Gelman, Castro &amp; Seidler, 2015; Pinto &amp; Leal, 2013; Ribeiro, Colauto, &amp; Clemente, 2016; Silva, Peixoto, &amp; Tizziotti 2021).</w:t>
      </w:r>
    </w:p>
    <w:p w14:paraId="2CC40DB5"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Além da inconsistência dos resultados das pesquisas anteriores, pouco se discute sobre as motivações da relação entre controle acionário e características dos órgãos de administração das empresas brasileiras e ainda não se investigou o efeito destas relações sobre o valor da empresa brasileira. Uma vez que diferentes tipos de controladores têm questões específicas e diferentes graus de incentivos e habilidades para monitorar diretamente a gestão (Aguilera, Desender, &amp; Castro, 2012), a percepção de investidores sobre a sobreposição entre controle acionário e administração pode ser variar, de acordo com o tipo de controle acionário e a característica da administração analisada, sendo refletida no preço das ações da empresa: efeito monitoramento ou efeito expropriação.</w:t>
      </w:r>
    </w:p>
    <w:p w14:paraId="784EA57A"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 literatura recente tem indicado para uma relação positiva entre adoção de práticas de governança corporativa e valor da empresa brasileira (</w:t>
      </w:r>
      <w:r w:rsidRPr="006B566E">
        <w:rPr>
          <w:rFonts w:ascii="Arial" w:hAnsi="Arial" w:cs="Arial"/>
          <w:color w:val="222222"/>
          <w:sz w:val="18"/>
          <w:szCs w:val="18"/>
        </w:rPr>
        <w:t>Machado, Prado, Rauber, Carvalho, &amp; Santos, 2020;</w:t>
      </w:r>
      <w:r w:rsidRPr="006B566E">
        <w:rPr>
          <w:rFonts w:ascii="Arial" w:eastAsia="Calibri" w:hAnsi="Arial" w:cs="Arial"/>
          <w:sz w:val="18"/>
          <w:szCs w:val="18"/>
          <w:lang w:eastAsia="en-US"/>
        </w:rPr>
        <w:t xml:space="preserve"> Nascimento et al., 2018</w:t>
      </w:r>
      <w:r w:rsidRPr="006B566E">
        <w:rPr>
          <w:rFonts w:ascii="Arial" w:hAnsi="Arial" w:cs="Arial"/>
          <w:color w:val="222222"/>
          <w:sz w:val="18"/>
          <w:szCs w:val="18"/>
        </w:rPr>
        <w:t>).</w:t>
      </w:r>
      <w:r w:rsidRPr="006B566E">
        <w:rPr>
          <w:rFonts w:ascii="Arial" w:eastAsia="Calibri" w:hAnsi="Arial" w:cs="Arial"/>
          <w:sz w:val="18"/>
          <w:szCs w:val="18"/>
          <w:lang w:eastAsia="en-US"/>
        </w:rPr>
        <w:t xml:space="preserve"> Desta forma, pelo efeito expropriação é esperado que o valor da empresa esteja positivamente relacionado com a independência dos órgãos de administração e com a presença mecanismos de incentivo dos administradores, uma vez que investidores podem considerar a ausência dessas características como indicativo de maior risco de expropriação da riqueza da empresa. Entretanto, esta relação pode ser inexistente e até negativa, se investidores entenderem que a sobreposição entre controle acionário e administração gera um efeito monitoramento, uma vez que a presença do acionista controlador funcionaria como um mecanismo substituto às práticas de incentivo dos administradores, e que a implementação e manutenção destas práticas geraria custos desnecessários.</w:t>
      </w:r>
    </w:p>
    <w:p w14:paraId="7C2F3985"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Considerando os diferentes tipos de controle acionário e as possíveis motivações de acionistas controladores ao definir as características dos órgãos de administração das empresas brasileiras de capital aberto, esta pesquisa foi desenvolvida a partir das seguintes questões: </w:t>
      </w:r>
      <w:r w:rsidRPr="006B566E">
        <w:rPr>
          <w:rFonts w:ascii="Arial" w:eastAsia="Calibri" w:hAnsi="Arial" w:cs="Arial"/>
          <w:i/>
          <w:sz w:val="18"/>
          <w:szCs w:val="18"/>
          <w:lang w:eastAsia="en-US"/>
        </w:rPr>
        <w:t xml:space="preserve">Qual a relação entre o tipo controle acionário e as características do conselho de administração e da diretoria executiva das empresas brasileiras de capital aberto? Qual é a relevância do tipo de controle acionário para a relação entre características do conselho de administração e da diretoria executiva das empresas brasileiras de capital aberto? </w:t>
      </w:r>
      <w:r w:rsidRPr="006B566E">
        <w:rPr>
          <w:rFonts w:ascii="Arial" w:eastAsia="Calibri" w:hAnsi="Arial" w:cs="Arial"/>
          <w:sz w:val="18"/>
          <w:szCs w:val="18"/>
          <w:lang w:eastAsia="en-US"/>
        </w:rPr>
        <w:t>O objetivo do trabalho é analisar as relações entre controle acionário, conselho de administração e diretoria executiva nas empresas brasileiras de capital aberto, e verificar se a relação das características do conselho de administração e diretoria executiva com o valor dessas empresas depende do tipo de controle acionário.</w:t>
      </w:r>
    </w:p>
    <w:p w14:paraId="3ABE9B6D"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 partir de 741 observações de 281 empresas listadas na Brasil, Bolsa, Balcão (B</w:t>
      </w:r>
      <w:r w:rsidRPr="006B566E">
        <w:rPr>
          <w:rFonts w:ascii="Arial" w:eastAsia="Calibri" w:hAnsi="Arial" w:cs="Arial"/>
          <w:sz w:val="18"/>
          <w:szCs w:val="18"/>
          <w:vertAlign w:val="superscript"/>
          <w:lang w:eastAsia="en-US"/>
        </w:rPr>
        <w:t>3</w:t>
      </w:r>
      <w:r w:rsidRPr="006B566E">
        <w:rPr>
          <w:rFonts w:ascii="Arial" w:eastAsia="Calibri" w:hAnsi="Arial" w:cs="Arial"/>
          <w:sz w:val="18"/>
          <w:szCs w:val="18"/>
          <w:lang w:eastAsia="en-US"/>
        </w:rPr>
        <w:t xml:space="preserve">) no período 2018 a 2020, identificou-se por meio de análise de conteúdo o tipo de controle acionário da </w:t>
      </w:r>
      <w:r w:rsidRPr="006B566E">
        <w:rPr>
          <w:rFonts w:ascii="Arial" w:eastAsia="Calibri" w:hAnsi="Arial" w:cs="Arial"/>
          <w:sz w:val="18"/>
          <w:szCs w:val="18"/>
          <w:lang w:eastAsia="en-US"/>
        </w:rPr>
        <w:lastRenderedPageBreak/>
        <w:t xml:space="preserve">empresa (disperso, compartilhado, familiar, empresarial e governamental) e através de  análise de componentes principais cinco fatores que representam características da administração (remuneração da diretoria executiva, independência dos administradores, separação entre conselho de administração e diretoria executiva, avaliação dos administradores e remuneração do conselho de administração). Em seguida foram processadas estimações com modelagem </w:t>
      </w:r>
      <w:r w:rsidRPr="006B566E">
        <w:rPr>
          <w:rFonts w:ascii="Arial" w:eastAsia="Calibri" w:hAnsi="Arial" w:cs="Arial"/>
          <w:i/>
          <w:iCs/>
          <w:sz w:val="18"/>
          <w:szCs w:val="18"/>
          <w:lang w:eastAsia="en-US"/>
        </w:rPr>
        <w:t xml:space="preserve">feasible generalized least squares </w:t>
      </w:r>
      <w:r w:rsidRPr="006B566E">
        <w:rPr>
          <w:rFonts w:ascii="Arial" w:eastAsia="Calibri" w:hAnsi="Arial" w:cs="Arial"/>
          <w:sz w:val="18"/>
          <w:szCs w:val="18"/>
          <w:lang w:eastAsia="en-US"/>
        </w:rPr>
        <w:t>(FGLS) para verificar a relação entre o tipo de controle acionário e as cinco características da administração e a relação entre estas características e o valor da empresa de acordo com o tipo de controle acionário.</w:t>
      </w:r>
    </w:p>
    <w:p w14:paraId="3D5D8508"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Os resultados indicam que o tipo de controle acionário está relacionado com a independência dos administradores, a separação entre conselho de administração e diretoria executiva, o tipo de remuneração da diretoria executiva e a presença de mecanismos de avaliação dos administradores, mas não influencia o tipo de remuneração do conselho de administração.  Todas as características da administração analisadas têm relação com o valor das empresas, mas o sinal e a significância destas relações dependem do tipo de controle acionário da empresa.</w:t>
      </w:r>
    </w:p>
    <w:p w14:paraId="47C554FA" w14:textId="77777777" w:rsidR="006B566E" w:rsidRPr="006B566E" w:rsidRDefault="006B566E" w:rsidP="00E5748B">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Este trabalho agrega à literatura em governança corporativa aplicada a mercados emergentes, caracterizados pela existência de blocos controladores e conflitos de agência entre acionistas controladores e minoritários (Claessens &amp; Yurtoglu, 2013), ao verificar de que forma o tipo controle acionário está relacionado com a composição e os mecanismos de incentivos dos órgãos de administração, e identificar o efeito destas relações sobre o valor das empresas brasileiras. As evidências encontradas indicam que a sobreposição entre controle acionário, conselho de administração e diretoria executiva está presente nas empresas brasileiras e, a depender do tipo de controle acionário e da característica da administração analisada, esta sobreposição está sendo interpretada por investidores externos como mecanismo de monitoramento ou instrumento que facilita a expropriação da riqueza da empresa por parte dos acionistas controladores. Na prática, os resultados podem ajudar na compreensão nas práticas de governança corporativa relativas ao conselho de administração e à diretoria executiva que são mais eficazes para cada empresa, de acordo com o tipo de controle acionário.</w:t>
      </w:r>
    </w:p>
    <w:p w14:paraId="7859E930" w14:textId="77777777" w:rsidR="006B566E" w:rsidRPr="006B566E" w:rsidRDefault="00E5748B" w:rsidP="00E5748B">
      <w:pPr>
        <w:keepNext/>
        <w:keepLines/>
        <w:widowControl/>
        <w:spacing w:before="360" w:after="240" w:line="240" w:lineRule="auto"/>
        <w:outlineLvl w:val="0"/>
        <w:rPr>
          <w:rFonts w:ascii="Arial" w:hAnsi="Arial" w:cs="Arial"/>
          <w:b/>
          <w:sz w:val="20"/>
          <w:szCs w:val="20"/>
          <w:lang w:val="x-none" w:eastAsia="x-none"/>
        </w:rPr>
      </w:pPr>
      <w:bookmarkStart w:id="4" w:name="_Toc39830491"/>
      <w:r w:rsidRPr="00E5748B">
        <w:rPr>
          <w:rFonts w:ascii="Arial" w:hAnsi="Arial" w:cs="Arial"/>
          <w:b/>
          <w:sz w:val="20"/>
          <w:szCs w:val="20"/>
          <w:lang w:eastAsia="x-none"/>
        </w:rPr>
        <w:t xml:space="preserve">2 </w:t>
      </w:r>
      <w:r w:rsidR="006B566E" w:rsidRPr="006B566E">
        <w:rPr>
          <w:rFonts w:ascii="Arial" w:hAnsi="Arial" w:cs="Arial"/>
          <w:b/>
          <w:sz w:val="20"/>
          <w:szCs w:val="20"/>
          <w:lang w:val="x-none" w:eastAsia="x-none"/>
        </w:rPr>
        <w:t>FUNDAMENTAÇÃO TEÓRICA</w:t>
      </w:r>
      <w:bookmarkEnd w:id="4"/>
    </w:p>
    <w:p w14:paraId="2C53C5A2"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 administração das sociedades anônimas de capital aberto é formada pela diretoria executiva e pelo conselho de administração (Rossetti &amp; Andrade, 2012). Conceitualmente, a diretoria executiva é responsável por decisões de gestão (planejamento e implementação), enquanto o conselho de administração é responsável por decisões de controle (ratificação e monitoramento das decisões de gestão), além de contratar, demitir e compensar membros da diretoria executiva (Fama &amp; Jensen, 1983). Há um conjunto de características da diretoria executiva e do conselho de administração relevantes para a eficácia do sistema de governança da empresa, relacionadas a sua estrutura, composição, práticas e incentivos (Grupo de Trabalho Interagentes, 2016). Entretanto, o tipo de controle acionário pode ser um fator determinante para as características e os papéis destes órgãos no sistema de governança da empresa (Crisóstomo &amp; Brandão, 2019).</w:t>
      </w:r>
    </w:p>
    <w:p w14:paraId="24D1A09C"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Nas empresas sem acionista controlador, acionistas têm menor incentivo e capacidade para monitorar diretamente a gestão (Desender et al., 2013) e o principal problema de agência decorre de conflitos entre acionistas e gestores (Jensen &amp; Mackling, 1976). Nestas empresas a independência do conselho de administração é avaliada pela relação entre seus membros e a diretoria executiva (Bebchuk &amp; Hamdani, 2009). A política de remuneração dos executivos, por sua vez, ganha maior importância como mecanismo de alinhamento de interesses entre acionistas dispersos e gestores (Hassen, El Ouakdi, &amp; Omri, 2015).</w:t>
      </w:r>
    </w:p>
    <w:p w14:paraId="190B4276"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Nas empresas com acionista controlador, o principal problema de agência decorre de conflitos entre acionistas controladores e minoritários (Young et al., 2008). Na prática, o acionista controlador é o principal tomador de decisão destas empresas, se sobrepondo à administração (</w:t>
      </w:r>
      <w:r w:rsidRPr="006B566E">
        <w:rPr>
          <w:rFonts w:ascii="Arial" w:hAnsi="Arial" w:cs="Arial"/>
          <w:color w:val="222222"/>
          <w:sz w:val="18"/>
          <w:szCs w:val="18"/>
        </w:rPr>
        <w:t>Jiang &amp; Kim</w:t>
      </w:r>
      <w:r w:rsidRPr="006B566E">
        <w:rPr>
          <w:rFonts w:ascii="Arial" w:eastAsia="Calibri" w:hAnsi="Arial" w:cs="Arial"/>
          <w:sz w:val="18"/>
          <w:szCs w:val="18"/>
          <w:lang w:eastAsia="en-US"/>
        </w:rPr>
        <w:t xml:space="preserve">, 2020). Acionistas controladores podem obter maior monitoramento da gestão por meio da concentração de direitos de voto (Renders &amp; Gaeremynck, 2012), o que pode substituir outros mecanismos de governança, como um conselho de administração independente da diretoria executiva (Crisóstomo, Brandão &amp; López-Iturriaga, 2020) e uma política de remuneração gerencial </w:t>
      </w:r>
      <w:r w:rsidRPr="006B566E">
        <w:rPr>
          <w:rFonts w:ascii="Arial" w:eastAsia="Calibri" w:hAnsi="Arial" w:cs="Arial"/>
          <w:sz w:val="18"/>
          <w:szCs w:val="18"/>
          <w:lang w:eastAsia="en-US"/>
        </w:rPr>
        <w:lastRenderedPageBreak/>
        <w:t>que alinhe os interesses de gestores e acionistas (Core, Holthausen &amp; Larcker, 1999). Por outro lado, acionistas controladores podem usar o seu poder sobre a gestão para usufruir de benefícios privados do controle (Young et al., 2008). Diante da sobreposição entre acionistas controladores e diretoria executiva, a independência do conselho de administração deve ser medida pela participação de conselheiros indicados por acionistas minoritários, ou que não possuam nenhuma relação com a empresa (Brandão et al., 2019).</w:t>
      </w:r>
    </w:p>
    <w:p w14:paraId="60016EC6"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No mercado de capitais brasileiro, além do controle disperso, as empresas apresentam controle compartilhado, familiar, empresarial e governamental (Crisóstomo &amp; Brandão, 2019). O controle compartilhado ocorre quando dois ou mais investidores sem relações familiares ou comerciais compartilham o controle acionário por meio de acordo formal (Crisóstomo &amp; Brandão, 2019). Dada a maior dispersão do controle, acordos de acionistas podem proteger a empresa contra decisões maliciosas de gestores sobre a estratégia da empresa ou em negociações envolvendo ações da empresa (Carvalhal, 2012). Por outro lado, um acordo de acionistas pode ser um instrumento para fazer valer um pequeno grupo de grandes </w:t>
      </w:r>
      <w:r w:rsidRPr="006B566E">
        <w:rPr>
          <w:rFonts w:ascii="Arial" w:eastAsia="Calibri" w:hAnsi="Arial" w:cs="Arial"/>
          <w:i/>
          <w:iCs/>
          <w:sz w:val="18"/>
          <w:szCs w:val="18"/>
          <w:lang w:eastAsia="en-US"/>
        </w:rPr>
        <w:t>blockholders</w:t>
      </w:r>
      <w:r w:rsidRPr="006B566E">
        <w:rPr>
          <w:rFonts w:ascii="Arial" w:eastAsia="Calibri" w:hAnsi="Arial" w:cs="Arial"/>
          <w:sz w:val="18"/>
          <w:szCs w:val="18"/>
          <w:lang w:eastAsia="en-US"/>
        </w:rPr>
        <w:t xml:space="preserve"> e facilitar o uso de benefícios privados de controle para esse grupo (Bianchi, Bianco, &amp; Enriques, 2001), como a inclusão de cláusulas que vinculam o voto dos conselheiros ao acordo de acionistas (Gelman et al., 2015).</w:t>
      </w:r>
    </w:p>
    <w:p w14:paraId="32038DD4"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Nas empresas com controle familiar, a família controladora tem incentivos e habilidades para monitorar diretamente a gestão, monitoramento que vai além do exercido pelo conselho de administração (Desender et al., 2013). A estrutura de governança das empresas familiares pode incluir práticas para facilitar o relacionamento entre a família e o negócio, como o conselho de família e a carta de família (Umans, Lybaert, Steijvers, &amp; Voordeckers, 2020). Outra característica predominante nas empresas com controle familiar é a presença de membros da família controladora nos órgãos da administração (Moura, Bianchet, Mazzioni, &amp; Macêdo, 2018; Salvato &amp; Moraes, 2010). Quando presentes no conselho de administração, membros da família reduzem custos com conselheiros externos (Aguilera, Desender, &amp; Castro, 2012). Por outro lado, o controle familiar também pode ser prejudicial à empresa, dado o possível entrincheiramento dos membros da família na gestão da empresa (Morck, Shleifer, &amp; Vishny, 1988). A distância entre os acionistas controladores e a administração é mínima, pois muitas vezes os proprietários são os próprios gestores (Aguilera et al., 2012).</w:t>
      </w:r>
    </w:p>
    <w:p w14:paraId="4D64C712"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O controle empresarial envolve a propriedade cruzada entre empresas controladoras e controladas (Crisóstomo &amp; Brandão, 2019). Semelhante ao controle familiar, a empresa controladora tem incentivo e habilidades para monitorar a gestão da empresa controlada (Desender et al., 2013). Por outro lado, estruturas de gestão menos claras oferecem a possibilidade de pior governança corporativa, incluindo a expropriação dos direitos de acionistas minoritários (Claessens &amp; Yurtoglu, 2013). É comum ver executivos da empresa controladora no conselho de administração da empresa controlada, e administradores de empresas pertencentes a grupos empresariais são mais propensos a representar objetivos de grupos empresariais controladores do que a perseguir os objetivos das empresas individuais e seus acionistas externos</w:t>
      </w:r>
      <w:r w:rsidRPr="006B566E" w:rsidDel="001D6BD0">
        <w:rPr>
          <w:rFonts w:ascii="Arial" w:eastAsia="Calibri" w:hAnsi="Arial" w:cs="Arial"/>
          <w:sz w:val="18"/>
          <w:szCs w:val="18"/>
          <w:lang w:eastAsia="en-US"/>
        </w:rPr>
        <w:t xml:space="preserve"> </w:t>
      </w:r>
      <w:r w:rsidRPr="006B566E">
        <w:rPr>
          <w:rFonts w:ascii="Arial" w:eastAsia="Calibri" w:hAnsi="Arial" w:cs="Arial"/>
          <w:sz w:val="18"/>
          <w:szCs w:val="18"/>
          <w:lang w:eastAsia="en-US"/>
        </w:rPr>
        <w:t>(Ararat, Claessens, &amp; Yurtoglu, 2021).</w:t>
      </w:r>
    </w:p>
    <w:p w14:paraId="2E35DB33"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A administração de empresas com controle governamental tende a ser mais voltada para </w:t>
      </w:r>
      <w:r w:rsidRPr="006B566E">
        <w:rPr>
          <w:rFonts w:ascii="Arial" w:eastAsia="Calibri" w:hAnsi="Arial" w:cs="Arial"/>
          <w:i/>
          <w:sz w:val="18"/>
          <w:szCs w:val="18"/>
          <w:lang w:eastAsia="en-US"/>
        </w:rPr>
        <w:t>stakeholders</w:t>
      </w:r>
      <w:r w:rsidRPr="006B566E">
        <w:rPr>
          <w:rFonts w:ascii="Arial" w:eastAsia="Calibri" w:hAnsi="Arial" w:cs="Arial"/>
          <w:sz w:val="18"/>
          <w:szCs w:val="18"/>
          <w:lang w:eastAsia="en-US"/>
        </w:rPr>
        <w:t xml:space="preserve"> do que </w:t>
      </w:r>
      <w:r w:rsidRPr="006B566E">
        <w:rPr>
          <w:rFonts w:ascii="Arial" w:eastAsia="Calibri" w:hAnsi="Arial" w:cs="Arial"/>
          <w:i/>
          <w:sz w:val="18"/>
          <w:szCs w:val="18"/>
          <w:lang w:eastAsia="en-US"/>
        </w:rPr>
        <w:t>shareholders</w:t>
      </w:r>
      <w:r w:rsidRPr="006B566E">
        <w:rPr>
          <w:rFonts w:ascii="Arial" w:eastAsia="Calibri" w:hAnsi="Arial" w:cs="Arial"/>
          <w:sz w:val="18"/>
          <w:szCs w:val="18"/>
          <w:lang w:eastAsia="en-US"/>
        </w:rPr>
        <w:t>, com conselhos de administração compostos por indicações políticas e representantes dos empregados, com papel mais consultivo do que de monitoramento (Aguilera et al., 2012). Caso a posição de controle societário seja exercida por ente governamental por muito tempo, entretanto, pode haver conflitos de interesses com acionistas privados, que normalmente têm o retorno financeiro como objetivo principal (Fontes &amp; Alves, 2018). Ademais, Shleifer e Vishny (1997), alertaram que empresas com controle governamental podem ser menos eficientes devido aos interesses particulares de seus gestores: políticos que controlam as empresas estatais têm, na melhor das hipóteses, preocupação indireta com os lucros e têm objetivos diferentes do interesse social; no entanto, eles têm poder sobre essas empresas para direcioná-las a perseguir objetivos políticos.</w:t>
      </w:r>
    </w:p>
    <w:p w14:paraId="63270F50"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Estudos recentes realizados com empresas brasileiras têm apontado que o tipo de controle acionário está relacionado às características do conselho de administração e da diretoria executiva, com destaque para composição e remuneração. No que tange à composição, Correia et al. (2014a) verificaram que a sobreposição entre os cargos de diretor presidente e presidente do conselho de administração é mais comum nas empresas com controle governamental e institucional. Andrade et </w:t>
      </w:r>
      <w:r w:rsidRPr="006B566E">
        <w:rPr>
          <w:rFonts w:ascii="Arial" w:eastAsia="Calibri" w:hAnsi="Arial" w:cs="Arial"/>
          <w:sz w:val="18"/>
          <w:szCs w:val="18"/>
          <w:lang w:eastAsia="en-US"/>
        </w:rPr>
        <w:lastRenderedPageBreak/>
        <w:t xml:space="preserve">al. (2014; 2017) identificaram que a existência de acordo de acionistas reduz a relação entre o percentual de conselheiros externos e o valor da empresa, quando comparadas com empresas sem acordos de acionistas. Ribeiro et al. (2016) identificaram que a formação de </w:t>
      </w:r>
      <w:r w:rsidRPr="006B566E">
        <w:rPr>
          <w:rFonts w:ascii="Arial" w:eastAsia="Calibri" w:hAnsi="Arial" w:cs="Arial"/>
          <w:i/>
          <w:sz w:val="18"/>
          <w:szCs w:val="18"/>
          <w:lang w:eastAsia="en-US"/>
        </w:rPr>
        <w:t>board interlocking</w:t>
      </w:r>
      <w:r w:rsidRPr="006B566E">
        <w:rPr>
          <w:rFonts w:ascii="Arial" w:eastAsia="Calibri" w:hAnsi="Arial" w:cs="Arial"/>
          <w:sz w:val="18"/>
          <w:szCs w:val="18"/>
          <w:lang w:eastAsia="en-US"/>
        </w:rPr>
        <w:t xml:space="preserve"> está associada à formação de grupos econômicos e ao controle governamental. Crisóstomo e Brandão (2019) identificaram que a independência do conselho de administração é menor nas empresas com controle familiar, ao passo que o conselho de administração de empresas com controle disperso é mais independente. </w:t>
      </w:r>
      <w:r w:rsidRPr="006B566E">
        <w:rPr>
          <w:rFonts w:ascii="Arial" w:hAnsi="Arial" w:cs="Arial"/>
          <w:color w:val="222222"/>
          <w:sz w:val="18"/>
          <w:szCs w:val="18"/>
        </w:rPr>
        <w:t xml:space="preserve">Adam et al. (2020) observaram que em empresas familiares com maior excesso de direitos de voto há maior número de membros do conselho de administração pertencentes à família controladora, ao passo que nas empresas com controle compartilhado entre mais de uma família, o número de membros do conselho de administração pertencentes às famílias controladoras é menor. </w:t>
      </w:r>
      <w:r w:rsidRPr="006B566E">
        <w:rPr>
          <w:rFonts w:ascii="Arial" w:eastAsia="Calibri" w:hAnsi="Arial" w:cs="Arial"/>
          <w:sz w:val="18"/>
          <w:szCs w:val="18"/>
          <w:lang w:eastAsia="en-US"/>
        </w:rPr>
        <w:t xml:space="preserve">Utilizando a concentração acionária como proxy para controle acionário definido, Crisóstomo et al. (2020) observaram que há uma relação negativa entre concentração acionária e independência do conselho de administração. Silva et al. (2021) verificaram que conselhos de administração de sociedades de economia mista são menos independentes, maiores, com maior presença do CEO entre seus membros e sem instalação do comitê de auditoria. </w:t>
      </w:r>
    </w:p>
    <w:p w14:paraId="6C835D75"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Com relação à remuneração, Pinto e Leal (2013) encontraram evidência de que a remuneração do conselho de administração e da diretoria executiva são maiores nas empresas com controle disperso, e que nas empresas com controle governamental a remuneração da diretoria executiva é menor. Correia et al. (2014b) identificaram que nas empresas com controle governamental e empresarial há menor incidência de participação nos lucros como forma de remuneração. Ermel e Monte (2018) encontraram evidência de que a remuneração dos executivos é maior em empresas com controle disperso e menor em empresas com controle familiar e governamental, mas que para nenhum tipo de controle acionário a remuneração dos executivos está relacionada com o retorno sobre os ativos da empresa. Indiretamente, outros trabalhos analisaram a concentração acionária como medida de controle acionário: Anjos, Tavares, Monte e Lustosa (2015) observaram que a concentração de controle está negativamente relacionada com a remuneração da diretoria executiva; </w:t>
      </w:r>
      <w:r w:rsidRPr="006B566E">
        <w:rPr>
          <w:rFonts w:ascii="Arial" w:hAnsi="Arial" w:cs="Arial"/>
          <w:color w:val="222222"/>
          <w:sz w:val="18"/>
          <w:szCs w:val="18"/>
        </w:rPr>
        <w:t>Freitas, Pereira, Vasconcelos e Luca (2020) encontraram evidência de que a concentração acionária está negativamente relacionada com o montante de remuneração dos executivos; e Iglesias, Silva, Jesuka e Peixoto (2022) verificaram que a sensibilidade da remuneração dos executivos ao valor das empresas brasileiras é maior quando há menor concentração de propriedade.</w:t>
      </w:r>
    </w:p>
    <w:p w14:paraId="06A532D7"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Além da composição e da remuneração, outras características do conselho de administração e da diretoria foram investigadas. Gelman et al. (2015) identificaram que a vinculação de votos de conselheiros a acordo de acionistas, característica de empresas com controle compartilhado, tem relação negativa com o valor da empresa. No trabalho de Crisóstomo e Brandão (2019) foi analisada a relação entre controle acionário e mecanismos de incentivo de membros da diretoria executiva (mandato, avaliação e remuneração), e os achados indicam que estas práticas são mais adotadas por empresas com controle disperso e têm menor nível de adoção em empresas com controle governamental. </w:t>
      </w:r>
      <w:r w:rsidRPr="006B566E">
        <w:rPr>
          <w:rFonts w:ascii="Arial" w:hAnsi="Arial" w:cs="Arial"/>
          <w:color w:val="222222"/>
          <w:sz w:val="18"/>
          <w:szCs w:val="18"/>
        </w:rPr>
        <w:t xml:space="preserve">Silva, Silva, Avelino e Bressan (2020) observaram que o </w:t>
      </w:r>
      <w:r w:rsidRPr="006B566E">
        <w:rPr>
          <w:rFonts w:ascii="Arial" w:hAnsi="Arial" w:cs="Arial"/>
          <w:i/>
          <w:iCs/>
          <w:color w:val="222222"/>
          <w:sz w:val="18"/>
          <w:szCs w:val="18"/>
        </w:rPr>
        <w:t xml:space="preserve">turnover </w:t>
      </w:r>
      <w:r w:rsidRPr="006B566E">
        <w:rPr>
          <w:rFonts w:ascii="Arial" w:hAnsi="Arial" w:cs="Arial"/>
          <w:color w:val="222222"/>
          <w:sz w:val="18"/>
          <w:szCs w:val="18"/>
        </w:rPr>
        <w:t xml:space="preserve">do CEO, que indica maior monitoramento sobre os executivos, é menor nas empresas com controle familiar. Vieira e Martins (2020), por sua vez, observaram que a sensibilidade de </w:t>
      </w:r>
      <w:r w:rsidRPr="006B566E">
        <w:rPr>
          <w:rFonts w:ascii="Arial" w:hAnsi="Arial" w:cs="Arial"/>
          <w:i/>
          <w:iCs/>
          <w:color w:val="222222"/>
          <w:sz w:val="18"/>
          <w:szCs w:val="18"/>
        </w:rPr>
        <w:t xml:space="preserve">turnover </w:t>
      </w:r>
      <w:r w:rsidRPr="006B566E">
        <w:rPr>
          <w:rFonts w:ascii="Arial" w:hAnsi="Arial" w:cs="Arial"/>
          <w:color w:val="222222"/>
          <w:sz w:val="18"/>
          <w:szCs w:val="18"/>
        </w:rPr>
        <w:t xml:space="preserve">do CEO ao desempenho é menor nas empresas com maior concentração de propriedade. </w:t>
      </w:r>
    </w:p>
    <w:p w14:paraId="0A9C13C9"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bookmarkStart w:id="5" w:name="_Hlk107910622"/>
      <w:r w:rsidRPr="006B566E">
        <w:rPr>
          <w:rFonts w:ascii="Arial" w:eastAsia="Calibri" w:hAnsi="Arial" w:cs="Arial"/>
          <w:sz w:val="18"/>
          <w:szCs w:val="18"/>
          <w:lang w:eastAsia="en-US"/>
        </w:rPr>
        <w:t xml:space="preserve">A primeira hipótese da pesquisa trata da relação entre o tipo de controle acionário e as características da administração das empresas brasileiras de capital aberto. As características históricas do mercado de capitais brasileiro – fraca proteção legal e baixo </w:t>
      </w:r>
      <w:r w:rsidRPr="006B566E">
        <w:rPr>
          <w:rFonts w:ascii="Arial" w:eastAsia="Calibri" w:hAnsi="Arial" w:cs="Arial"/>
          <w:i/>
          <w:sz w:val="18"/>
          <w:szCs w:val="18"/>
          <w:lang w:eastAsia="en-US"/>
        </w:rPr>
        <w:t>enforcement</w:t>
      </w:r>
      <w:r w:rsidRPr="006B566E">
        <w:rPr>
          <w:rFonts w:ascii="Arial" w:eastAsia="Calibri" w:hAnsi="Arial" w:cs="Arial"/>
          <w:sz w:val="18"/>
          <w:szCs w:val="18"/>
          <w:lang w:eastAsia="en-US"/>
        </w:rPr>
        <w:t xml:space="preserve"> (Porta et al., 2000), predominância de empresas com controle definido e a existência de desvios entre direitos de voto e direitos de fluxo de caixa (Aldrighi &amp; Mazzer, 2007) – sugerem que a presença e a identidade dos acionistas controladores estão relacionadas às características dos órgãos de administração das empresas brasileiras.  A pesquisa empírica anterior, entretanto, tem encontrado evidências inconsistentes, e por vezes conflitantes (Adam et al., 2020; Andrade et al., 2014; 2017; Correia et al., 2014a; 2014b; Crisóstomo &amp; Brandão, 2019; Ermel &amp; Monte, 2018; Gelman et al., 2015; Pinto &amp; Leal, 2013; Ribeiro et al., 2016; Silva et al., 2021).</w:t>
      </w:r>
    </w:p>
    <w:bookmarkEnd w:id="5"/>
    <w:p w14:paraId="20AFC9E8"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Argumenta-se nesta pesquisa que o tipo de controle acionário é um fator que diferencia a composição do conselho de administração e da diretoria executiva e a presença de mecanismos de incentivo destes órgãos. Espera-se que nas empresas com controle definido (compartilhado, familiar, </w:t>
      </w:r>
      <w:r w:rsidRPr="006B566E">
        <w:rPr>
          <w:rFonts w:ascii="Arial" w:eastAsia="Calibri" w:hAnsi="Arial" w:cs="Arial"/>
          <w:sz w:val="18"/>
          <w:szCs w:val="18"/>
          <w:lang w:eastAsia="en-US"/>
        </w:rPr>
        <w:lastRenderedPageBreak/>
        <w:t xml:space="preserve">empresarial e governamental) haja sobreposição entre acionista controlador, conselho de administração e diretoria executiva, o que não deve ser observado nas empresas com controle disperso. Entre as empresas com controle definido, por sua vez, as questões específicas e os diferentes graus de incentivos e habilidades para monitorar a gestão dos tipos de acionista controlador devem afetar as características dos órgãos de administração. </w:t>
      </w:r>
    </w:p>
    <w:p w14:paraId="12E1927D" w14:textId="77777777" w:rsidR="006B566E" w:rsidRPr="006B566E" w:rsidRDefault="006B566E" w:rsidP="00C563C5">
      <w:pPr>
        <w:widowControl/>
        <w:spacing w:before="240" w:line="240" w:lineRule="auto"/>
        <w:ind w:firstLine="709"/>
        <w:rPr>
          <w:rFonts w:ascii="Arial" w:eastAsia="Calibri" w:hAnsi="Arial" w:cs="Arial"/>
          <w:i/>
          <w:sz w:val="18"/>
          <w:szCs w:val="18"/>
          <w:lang w:eastAsia="en-US"/>
        </w:rPr>
      </w:pPr>
      <w:r w:rsidRPr="006B566E">
        <w:rPr>
          <w:rFonts w:ascii="Arial" w:eastAsia="Calibri" w:hAnsi="Arial" w:cs="Arial"/>
          <w:i/>
          <w:sz w:val="18"/>
          <w:szCs w:val="18"/>
          <w:lang w:eastAsia="en-US"/>
        </w:rPr>
        <w:t>Hipótese 1: O tipo de controle acionário está relacionado com as características do conselho de administração e da diretoria executiva das empresas brasileiras</w:t>
      </w:r>
    </w:p>
    <w:p w14:paraId="72BD8AA4"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 xml:space="preserve">A segunda hipótese de pesquisa aborda a relação entre as características da administração e o valor das empresas brasileiras de capital aberto de acordo com o tipo de controle acionário. A literatura aponta que diferentes tipos de investidores podem interferir de forma diferente na definição da estrutura de governança adotada pela empresa, motivados por dois interesses principais: monitoramento da gestão e/ou benefícios privados de controle (Connelly et al., 2010). Por um lado, acionistas controladores podem utilizar sua posição acionária para monitorar diretamente a gestão da empresa, sendo a concentração acionária um substituto de outros mecanismos de incentivo gerencial (Bozec &amp; Bozec, 2007). Por outro lado, acionistas controladores podem utilizar sua posição de controle para obtenção de benefícios privados, restringindo mecanismos de governança corporativa que protegem os direitos dos minoritários (Renders &amp; Gaeremynck, 2012). </w:t>
      </w:r>
    </w:p>
    <w:p w14:paraId="6C7CAF7C" w14:textId="77777777" w:rsidR="006B566E" w:rsidRPr="006B566E" w:rsidRDefault="006B566E" w:rsidP="00C563C5">
      <w:pPr>
        <w:widowControl/>
        <w:spacing w:before="240" w:line="240" w:lineRule="auto"/>
        <w:ind w:firstLine="709"/>
        <w:rPr>
          <w:rFonts w:ascii="Arial" w:eastAsia="Calibri" w:hAnsi="Arial" w:cs="Arial"/>
          <w:sz w:val="18"/>
          <w:szCs w:val="18"/>
          <w:lang w:eastAsia="en-US"/>
        </w:rPr>
      </w:pPr>
      <w:r w:rsidRPr="006B566E">
        <w:rPr>
          <w:rFonts w:ascii="Arial" w:eastAsia="Calibri" w:hAnsi="Arial" w:cs="Arial"/>
          <w:sz w:val="18"/>
          <w:szCs w:val="18"/>
          <w:lang w:eastAsia="en-US"/>
        </w:rPr>
        <w:t>Argumenta-se neste trabalho que, a depender do tipo de controle acionário da empresa (disperso, compartilhado, familiar, empresarial e governamental), os investidores no mercado de ações têm percepções diferentes acerca da sobreposição entre propriedade e administração (monitoramento ou expropriação). Pelo efeito monitoramento, a composição e os mecanismos de incentivo dos órgãos de administração não seriam relevantes para os investidores, não estando relacionados ou até apresentando relação negativa com valor da empresa. Pelo efeito expropriação, a independência e a presença de mecanismos de incentivo dos órgãos de administração</w:t>
      </w:r>
      <w:r w:rsidRPr="006B566E" w:rsidDel="004A7EF7">
        <w:rPr>
          <w:rFonts w:ascii="Arial" w:eastAsia="Calibri" w:hAnsi="Arial" w:cs="Arial"/>
          <w:sz w:val="18"/>
          <w:szCs w:val="18"/>
          <w:lang w:eastAsia="en-US"/>
        </w:rPr>
        <w:t xml:space="preserve"> </w:t>
      </w:r>
      <w:r w:rsidRPr="006B566E">
        <w:rPr>
          <w:rFonts w:ascii="Arial" w:eastAsia="Calibri" w:hAnsi="Arial" w:cs="Arial"/>
          <w:sz w:val="18"/>
          <w:szCs w:val="18"/>
          <w:lang w:eastAsia="en-US"/>
        </w:rPr>
        <w:t>estariam relacionadas positivamente ao valor da empresa, uma vez que investidores interpretariam a ausência destas práticas como maior risco de expropriação de sua riqueza por parte de gestores e acionistas controladores. Deste modo, hipotetiza-se que o tipo de controle acionário diferenciará a relação da composição e dos mecanismos de incentivo dos órgãos de administração com o valor das empresas, decorrente do efeito monitoramento ou do efeito expropriação.</w:t>
      </w:r>
    </w:p>
    <w:p w14:paraId="06651645" w14:textId="77777777" w:rsidR="006B566E" w:rsidRPr="006B566E" w:rsidRDefault="006B566E" w:rsidP="00D04F04">
      <w:pPr>
        <w:widowControl/>
        <w:spacing w:before="240" w:line="240" w:lineRule="auto"/>
        <w:ind w:firstLine="709"/>
        <w:rPr>
          <w:rFonts w:ascii="Arial" w:eastAsia="Calibri" w:hAnsi="Arial" w:cs="Arial"/>
          <w:i/>
          <w:sz w:val="18"/>
          <w:szCs w:val="18"/>
          <w:lang w:eastAsia="en-US"/>
        </w:rPr>
      </w:pPr>
      <w:r w:rsidRPr="006B566E">
        <w:rPr>
          <w:rFonts w:ascii="Arial" w:eastAsia="Calibri" w:hAnsi="Arial" w:cs="Arial"/>
          <w:i/>
          <w:sz w:val="18"/>
          <w:szCs w:val="18"/>
          <w:lang w:eastAsia="en-US"/>
        </w:rPr>
        <w:t>Hipótese 2: A relação de características do conselho de administração e da diretoria executiva com o valor das empresas brasileiras depende do tipo de controle acionário</w:t>
      </w:r>
    </w:p>
    <w:p w14:paraId="6F141008" w14:textId="77777777" w:rsidR="006B566E" w:rsidRPr="00E278F5" w:rsidRDefault="00E278F5" w:rsidP="00E278F5">
      <w:pPr>
        <w:keepNext/>
        <w:keepLines/>
        <w:spacing w:before="360" w:after="240" w:line="240" w:lineRule="auto"/>
        <w:outlineLvl w:val="0"/>
        <w:rPr>
          <w:rFonts w:ascii="Arial" w:hAnsi="Arial" w:cs="Arial"/>
          <w:b/>
          <w:sz w:val="20"/>
          <w:szCs w:val="20"/>
          <w:lang w:val="x-none" w:eastAsia="x-none"/>
        </w:rPr>
      </w:pPr>
      <w:bookmarkStart w:id="6" w:name="_Toc39830492"/>
      <w:r w:rsidRPr="00E278F5">
        <w:rPr>
          <w:rFonts w:ascii="Arial" w:hAnsi="Arial" w:cs="Arial"/>
          <w:b/>
          <w:sz w:val="20"/>
          <w:szCs w:val="20"/>
          <w:lang w:eastAsia="x-none"/>
        </w:rPr>
        <w:t xml:space="preserve">3 </w:t>
      </w:r>
      <w:r w:rsidR="006B566E" w:rsidRPr="00E278F5">
        <w:rPr>
          <w:rFonts w:ascii="Arial" w:hAnsi="Arial" w:cs="Arial"/>
          <w:b/>
          <w:sz w:val="20"/>
          <w:szCs w:val="20"/>
          <w:lang w:val="x-none" w:eastAsia="x-none"/>
        </w:rPr>
        <w:t>METODOLOGIA</w:t>
      </w:r>
      <w:bookmarkEnd w:id="6"/>
    </w:p>
    <w:p w14:paraId="6FB8013C" w14:textId="77777777" w:rsidR="006B566E" w:rsidRPr="00E278F5" w:rsidRDefault="00E278F5" w:rsidP="00E278F5">
      <w:pPr>
        <w:keepNext/>
        <w:keepLines/>
        <w:widowControl/>
        <w:spacing w:before="360" w:after="240" w:line="240" w:lineRule="auto"/>
        <w:outlineLvl w:val="0"/>
        <w:rPr>
          <w:rFonts w:ascii="Arial" w:hAnsi="Arial" w:cs="Arial"/>
          <w:b/>
          <w:sz w:val="20"/>
          <w:szCs w:val="20"/>
          <w:lang w:val="x-none" w:eastAsia="x-none"/>
        </w:rPr>
      </w:pPr>
      <w:bookmarkStart w:id="7" w:name="_Toc508133521"/>
      <w:bookmarkStart w:id="8" w:name="_Toc39830493"/>
      <w:r w:rsidRPr="00E278F5">
        <w:rPr>
          <w:rFonts w:ascii="Arial" w:hAnsi="Arial" w:cs="Arial"/>
          <w:b/>
          <w:sz w:val="20"/>
          <w:szCs w:val="20"/>
          <w:lang w:eastAsia="x-none"/>
        </w:rPr>
        <w:t xml:space="preserve">3.1 </w:t>
      </w:r>
      <w:r w:rsidR="006B566E" w:rsidRPr="00E278F5">
        <w:rPr>
          <w:rFonts w:ascii="Arial" w:hAnsi="Arial" w:cs="Arial"/>
          <w:b/>
          <w:sz w:val="20"/>
          <w:szCs w:val="20"/>
          <w:lang w:eastAsia="x-none"/>
        </w:rPr>
        <w:t>População e a</w:t>
      </w:r>
      <w:r w:rsidR="006B566E" w:rsidRPr="00E278F5">
        <w:rPr>
          <w:rFonts w:ascii="Arial" w:hAnsi="Arial" w:cs="Arial"/>
          <w:b/>
          <w:sz w:val="20"/>
          <w:szCs w:val="20"/>
          <w:lang w:val="x-none" w:eastAsia="x-none"/>
        </w:rPr>
        <w:t>mostra</w:t>
      </w:r>
      <w:bookmarkEnd w:id="7"/>
      <w:bookmarkEnd w:id="8"/>
    </w:p>
    <w:p w14:paraId="01143E3B" w14:textId="77777777" w:rsidR="006B566E" w:rsidRPr="00395FD5" w:rsidRDefault="006B566E" w:rsidP="00395FD5">
      <w:pPr>
        <w:widowControl/>
        <w:spacing w:before="240" w:line="240" w:lineRule="auto"/>
        <w:ind w:firstLine="709"/>
        <w:rPr>
          <w:rFonts w:ascii="Arial" w:eastAsia="Calibri" w:hAnsi="Arial" w:cs="Arial"/>
          <w:sz w:val="18"/>
          <w:szCs w:val="18"/>
          <w:lang w:eastAsia="en-US"/>
        </w:rPr>
      </w:pPr>
      <w:r w:rsidRPr="00395FD5">
        <w:rPr>
          <w:rFonts w:ascii="Arial" w:eastAsia="Calibri" w:hAnsi="Arial" w:cs="Arial"/>
          <w:sz w:val="18"/>
          <w:szCs w:val="18"/>
          <w:lang w:eastAsia="en-US"/>
        </w:rPr>
        <w:t>A população da pesquisa compreende as empresas de capital aberto brasileiras com registro ativo na Comissão de Valores Mobiliários (CVM). A amostra foi composta por empresas listadas na B</w:t>
      </w:r>
      <w:r w:rsidRPr="00395FD5">
        <w:rPr>
          <w:rFonts w:ascii="Arial" w:eastAsia="Calibri" w:hAnsi="Arial" w:cs="Arial"/>
          <w:sz w:val="18"/>
          <w:szCs w:val="18"/>
          <w:vertAlign w:val="superscript"/>
          <w:lang w:eastAsia="en-US"/>
        </w:rPr>
        <w:t>3</w:t>
      </w:r>
      <w:r w:rsidRPr="00395FD5">
        <w:rPr>
          <w:rFonts w:ascii="Arial" w:eastAsia="Calibri" w:hAnsi="Arial" w:cs="Arial"/>
          <w:sz w:val="18"/>
          <w:szCs w:val="18"/>
          <w:lang w:eastAsia="en-US"/>
        </w:rPr>
        <w:t xml:space="preserve"> que possuem ações negociadas na B</w:t>
      </w:r>
      <w:r w:rsidRPr="00395FD5">
        <w:rPr>
          <w:rFonts w:ascii="Arial" w:eastAsia="Calibri" w:hAnsi="Arial" w:cs="Arial"/>
          <w:sz w:val="18"/>
          <w:szCs w:val="18"/>
          <w:vertAlign w:val="superscript"/>
          <w:lang w:eastAsia="en-US"/>
        </w:rPr>
        <w:t>3</w:t>
      </w:r>
      <w:r w:rsidRPr="00395FD5">
        <w:rPr>
          <w:rFonts w:ascii="Arial" w:eastAsia="Calibri" w:hAnsi="Arial" w:cs="Arial"/>
          <w:sz w:val="18"/>
          <w:szCs w:val="18"/>
          <w:lang w:eastAsia="en-US"/>
        </w:rPr>
        <w:t xml:space="preserve"> e cujas informações necessárias para a análise de dados estão disponíveis. A fim de se analisar o valor da empresa a partir de seu preço da ação, restringiu-se a empresas com liquidez mínima em bolsa (0,01). Dada a necessidade de coleta manual de dados, optou-se por analisar os três últimos exercícios sociais com dados completos disponíveis no período da coleta. A amostra final, neste contexto, compreende um painel desbalanceado de 741 observações de 281 empresas no período de 2018 a 2020. </w:t>
      </w:r>
    </w:p>
    <w:p w14:paraId="00A41269" w14:textId="77777777" w:rsidR="006B566E" w:rsidRPr="00395FD5" w:rsidRDefault="00395FD5" w:rsidP="00395FD5">
      <w:pPr>
        <w:keepNext/>
        <w:keepLines/>
        <w:widowControl/>
        <w:spacing w:before="360" w:after="240" w:line="240" w:lineRule="auto"/>
        <w:outlineLvl w:val="0"/>
        <w:rPr>
          <w:rFonts w:ascii="Arial" w:hAnsi="Arial" w:cs="Arial"/>
          <w:b/>
          <w:sz w:val="20"/>
          <w:szCs w:val="20"/>
          <w:lang w:eastAsia="x-none"/>
        </w:rPr>
      </w:pPr>
      <w:r w:rsidRPr="00395FD5">
        <w:rPr>
          <w:rFonts w:ascii="Arial" w:hAnsi="Arial" w:cs="Arial"/>
          <w:b/>
          <w:sz w:val="20"/>
          <w:szCs w:val="20"/>
          <w:lang w:eastAsia="x-none"/>
        </w:rPr>
        <w:t xml:space="preserve">3.2 </w:t>
      </w:r>
      <w:r w:rsidR="006B566E" w:rsidRPr="00395FD5">
        <w:rPr>
          <w:rFonts w:ascii="Arial" w:hAnsi="Arial" w:cs="Arial"/>
          <w:b/>
          <w:sz w:val="20"/>
          <w:szCs w:val="20"/>
          <w:lang w:eastAsia="x-none"/>
        </w:rPr>
        <w:t>Dados e variáveis</w:t>
      </w:r>
    </w:p>
    <w:p w14:paraId="316309BB" w14:textId="77777777" w:rsidR="006B566E" w:rsidRPr="006C3B18" w:rsidRDefault="006B566E" w:rsidP="006C3B18">
      <w:pPr>
        <w:widowControl/>
        <w:spacing w:before="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t>As características da administração e o tipo de controle acionário foram coletados a partir de informações extraídas da primeira versão do formulário de referência. A escolha por dados do início de cada ano deveu-se ao objetivo de verificar a relação entre características da administração e valor da empresa, calculado com base em dados do final de cada ano. Com isso, reduziu-se possíveis problemas de endogeneidade decorrente de casualidade reversa.</w:t>
      </w:r>
    </w:p>
    <w:p w14:paraId="3F792A21" w14:textId="77777777" w:rsidR="006B566E" w:rsidRPr="006C3B18" w:rsidRDefault="006B566E" w:rsidP="006C3B18">
      <w:pPr>
        <w:widowControl/>
        <w:spacing w:before="240" w:after="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lastRenderedPageBreak/>
        <w:t xml:space="preserve">Para identificar as características da administração, no primeiro momento foram coletadas informações dos itens 12 (assembleia geral e administração) e 13 (Remuneração dos administradores) do formulário de referência, disponíveis no </w:t>
      </w:r>
      <w:r w:rsidRPr="006C3B18">
        <w:rPr>
          <w:rFonts w:ascii="Arial" w:eastAsia="Calibri" w:hAnsi="Arial" w:cs="Arial"/>
          <w:i/>
          <w:sz w:val="18"/>
          <w:szCs w:val="18"/>
          <w:lang w:eastAsia="en-US"/>
        </w:rPr>
        <w:t xml:space="preserve">website </w:t>
      </w:r>
      <w:r w:rsidRPr="006C3B18">
        <w:rPr>
          <w:rFonts w:ascii="Arial" w:eastAsia="Calibri" w:hAnsi="Arial" w:cs="Arial"/>
          <w:sz w:val="18"/>
          <w:szCs w:val="18"/>
          <w:lang w:eastAsia="en-US"/>
        </w:rPr>
        <w:t>da CVM. Conforme indicado na Tabela 1, foram analisadas 12 práticas relativas à composição (6) e a mecanismos de incentivo (6) do conselho de administração e da diretoria executiva. A composição foi analisada a partir do percentual de conselheiros minoritários, independentes e externos, da dualidade de CEO e da presença de relações familiares e de subordinação entre membros dos órgãos de administração. Os mecanismos de incentivo analisados foram a presença de avaliação formal (incentivo implícito) e a presença de remuneração variável e de longo prazo (incentivo explicito).</w:t>
      </w:r>
    </w:p>
    <w:p w14:paraId="2652015B" w14:textId="77777777" w:rsidR="006B566E" w:rsidRPr="006B566E" w:rsidRDefault="006B566E" w:rsidP="006B566E">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1</w:t>
      </w:r>
    </w:p>
    <w:p w14:paraId="330AB542" w14:textId="77777777" w:rsidR="006B566E" w:rsidRPr="006B566E" w:rsidRDefault="006B566E" w:rsidP="006B566E">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Práticas da administração analisadas</w:t>
      </w:r>
      <w:r w:rsidR="006C3B18">
        <w:rPr>
          <w:rFonts w:ascii="Arial" w:hAnsi="Arial" w:cs="Arial"/>
          <w:bCs/>
          <w:sz w:val="18"/>
          <w:szCs w:val="18"/>
          <w:lang w:eastAsia="en-US"/>
        </w:rPr>
        <w:t>.</w:t>
      </w:r>
    </w:p>
    <w:tbl>
      <w:tblPr>
        <w:tblStyle w:val="Tabelacomgrade4"/>
        <w:tblW w:w="806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2551"/>
        <w:gridCol w:w="2890"/>
        <w:gridCol w:w="1257"/>
      </w:tblGrid>
      <w:tr w:rsidR="006B566E" w:rsidRPr="006C3B18" w14:paraId="4B6AC9AF" w14:textId="77777777" w:rsidTr="006C3B18">
        <w:trPr>
          <w:trHeight w:val="20"/>
          <w:jc w:val="center"/>
        </w:trPr>
        <w:tc>
          <w:tcPr>
            <w:tcW w:w="1370" w:type="dxa"/>
            <w:tcBorders>
              <w:top w:val="single" w:sz="4" w:space="0" w:color="auto"/>
              <w:bottom w:val="single" w:sz="4" w:space="0" w:color="auto"/>
            </w:tcBorders>
            <w:vAlign w:val="center"/>
          </w:tcPr>
          <w:p w14:paraId="3CD87D78" w14:textId="77777777" w:rsidR="006B566E" w:rsidRPr="006C3B18" w:rsidRDefault="006B566E" w:rsidP="006C3B18">
            <w:pPr>
              <w:keepNext/>
              <w:widowControl/>
              <w:spacing w:line="240" w:lineRule="auto"/>
              <w:jc w:val="center"/>
              <w:rPr>
                <w:rFonts w:ascii="Arial" w:hAnsi="Arial" w:cs="Arial"/>
                <w:b/>
                <w:sz w:val="16"/>
                <w:szCs w:val="16"/>
                <w:lang w:eastAsia="en-US"/>
              </w:rPr>
            </w:pPr>
            <w:r w:rsidRPr="006C3B18">
              <w:rPr>
                <w:rFonts w:ascii="Arial" w:hAnsi="Arial" w:cs="Arial"/>
                <w:b/>
                <w:sz w:val="16"/>
                <w:szCs w:val="16"/>
                <w:lang w:eastAsia="en-US"/>
              </w:rPr>
              <w:t>Item</w:t>
            </w:r>
          </w:p>
        </w:tc>
        <w:tc>
          <w:tcPr>
            <w:tcW w:w="2551" w:type="dxa"/>
            <w:tcBorders>
              <w:top w:val="single" w:sz="4" w:space="0" w:color="auto"/>
              <w:bottom w:val="single" w:sz="4" w:space="0" w:color="auto"/>
            </w:tcBorders>
            <w:vAlign w:val="center"/>
          </w:tcPr>
          <w:p w14:paraId="58522BED" w14:textId="77777777" w:rsidR="006B566E" w:rsidRPr="006C3B18" w:rsidRDefault="006B566E" w:rsidP="006C3B18">
            <w:pPr>
              <w:keepNext/>
              <w:widowControl/>
              <w:spacing w:line="240" w:lineRule="auto"/>
              <w:jc w:val="center"/>
              <w:rPr>
                <w:rFonts w:ascii="Arial" w:hAnsi="Arial" w:cs="Arial"/>
                <w:b/>
                <w:sz w:val="16"/>
                <w:szCs w:val="16"/>
                <w:lang w:eastAsia="en-US"/>
              </w:rPr>
            </w:pPr>
            <w:r w:rsidRPr="006C3B18">
              <w:rPr>
                <w:rFonts w:ascii="Arial" w:hAnsi="Arial" w:cs="Arial"/>
                <w:b/>
                <w:sz w:val="16"/>
                <w:szCs w:val="16"/>
                <w:lang w:eastAsia="en-US"/>
              </w:rPr>
              <w:t>Prática</w:t>
            </w:r>
          </w:p>
        </w:tc>
        <w:tc>
          <w:tcPr>
            <w:tcW w:w="2890" w:type="dxa"/>
            <w:tcBorders>
              <w:top w:val="single" w:sz="4" w:space="0" w:color="auto"/>
              <w:bottom w:val="single" w:sz="4" w:space="0" w:color="auto"/>
            </w:tcBorders>
            <w:vAlign w:val="center"/>
          </w:tcPr>
          <w:p w14:paraId="636BF9F0" w14:textId="77777777" w:rsidR="006B566E" w:rsidRPr="006C3B18" w:rsidRDefault="006B566E" w:rsidP="006C3B18">
            <w:pPr>
              <w:keepNext/>
              <w:widowControl/>
              <w:spacing w:line="240" w:lineRule="auto"/>
              <w:jc w:val="center"/>
              <w:rPr>
                <w:rFonts w:ascii="Arial" w:hAnsi="Arial" w:cs="Arial"/>
                <w:b/>
                <w:sz w:val="16"/>
                <w:szCs w:val="16"/>
                <w:lang w:eastAsia="en-US"/>
              </w:rPr>
            </w:pPr>
            <w:r w:rsidRPr="006C3B18">
              <w:rPr>
                <w:rFonts w:ascii="Arial" w:hAnsi="Arial" w:cs="Arial"/>
                <w:b/>
                <w:sz w:val="16"/>
                <w:szCs w:val="16"/>
                <w:lang w:eastAsia="en-US"/>
              </w:rPr>
              <w:t>Descrição</w:t>
            </w:r>
          </w:p>
        </w:tc>
        <w:tc>
          <w:tcPr>
            <w:tcW w:w="1257" w:type="dxa"/>
            <w:tcBorders>
              <w:top w:val="single" w:sz="4" w:space="0" w:color="auto"/>
              <w:bottom w:val="single" w:sz="4" w:space="0" w:color="auto"/>
            </w:tcBorders>
            <w:vAlign w:val="center"/>
          </w:tcPr>
          <w:p w14:paraId="40605A08" w14:textId="77777777" w:rsidR="006B566E" w:rsidRPr="006C3B18" w:rsidRDefault="006B566E" w:rsidP="006C3B18">
            <w:pPr>
              <w:keepNext/>
              <w:widowControl/>
              <w:spacing w:line="240" w:lineRule="auto"/>
              <w:jc w:val="center"/>
              <w:rPr>
                <w:rFonts w:ascii="Arial" w:hAnsi="Arial" w:cs="Arial"/>
                <w:b/>
                <w:sz w:val="16"/>
                <w:szCs w:val="16"/>
                <w:lang w:eastAsia="en-US"/>
              </w:rPr>
            </w:pPr>
            <w:r w:rsidRPr="006C3B18">
              <w:rPr>
                <w:rFonts w:ascii="Arial" w:hAnsi="Arial" w:cs="Arial"/>
                <w:b/>
                <w:sz w:val="16"/>
                <w:szCs w:val="16"/>
                <w:lang w:eastAsia="en-US"/>
              </w:rPr>
              <w:t>Fonte de dados</w:t>
            </w:r>
          </w:p>
        </w:tc>
      </w:tr>
      <w:tr w:rsidR="006B566E" w:rsidRPr="006C3B18" w14:paraId="434B6F73" w14:textId="77777777" w:rsidTr="006C3B18">
        <w:trPr>
          <w:trHeight w:val="20"/>
          <w:jc w:val="center"/>
        </w:trPr>
        <w:tc>
          <w:tcPr>
            <w:tcW w:w="1370" w:type="dxa"/>
            <w:vMerge w:val="restart"/>
            <w:tcBorders>
              <w:top w:val="single" w:sz="4" w:space="0" w:color="auto"/>
              <w:bottom w:val="single" w:sz="4" w:space="0" w:color="auto"/>
            </w:tcBorders>
            <w:vAlign w:val="center"/>
          </w:tcPr>
          <w:p w14:paraId="5AC8242D"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Composição</w:t>
            </w:r>
          </w:p>
        </w:tc>
        <w:tc>
          <w:tcPr>
            <w:tcW w:w="2551" w:type="dxa"/>
            <w:tcBorders>
              <w:top w:val="single" w:sz="4" w:space="0" w:color="auto"/>
            </w:tcBorders>
            <w:vAlign w:val="center"/>
          </w:tcPr>
          <w:p w14:paraId="4B20B7E0"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Conselheiros minoritários</w:t>
            </w:r>
          </w:p>
        </w:tc>
        <w:tc>
          <w:tcPr>
            <w:tcW w:w="2890" w:type="dxa"/>
            <w:tcBorders>
              <w:top w:val="single" w:sz="4" w:space="0" w:color="auto"/>
            </w:tcBorders>
            <w:vAlign w:val="center"/>
          </w:tcPr>
          <w:p w14:paraId="413AEAEF"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Percentual de membros efetivos do CA não indicados pelo acionista controlador</w:t>
            </w:r>
          </w:p>
        </w:tc>
        <w:tc>
          <w:tcPr>
            <w:tcW w:w="1257" w:type="dxa"/>
            <w:vMerge w:val="restart"/>
            <w:tcBorders>
              <w:top w:val="single" w:sz="4" w:space="0" w:color="auto"/>
            </w:tcBorders>
            <w:vAlign w:val="center"/>
          </w:tcPr>
          <w:p w14:paraId="0C53B582"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Itens 12.5 e 12.6 do FR</w:t>
            </w:r>
          </w:p>
          <w:p w14:paraId="0266F82C"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4BD3B087" w14:textId="77777777" w:rsidTr="006C3B18">
        <w:trPr>
          <w:trHeight w:val="20"/>
          <w:jc w:val="center"/>
        </w:trPr>
        <w:tc>
          <w:tcPr>
            <w:tcW w:w="1370" w:type="dxa"/>
            <w:vMerge/>
            <w:tcBorders>
              <w:top w:val="nil"/>
              <w:bottom w:val="single" w:sz="4" w:space="0" w:color="auto"/>
            </w:tcBorders>
            <w:vAlign w:val="center"/>
          </w:tcPr>
          <w:p w14:paraId="3FFF62D9"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vAlign w:val="center"/>
          </w:tcPr>
          <w:p w14:paraId="43800808"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Conselheiros independentes</w:t>
            </w:r>
          </w:p>
        </w:tc>
        <w:tc>
          <w:tcPr>
            <w:tcW w:w="2890" w:type="dxa"/>
            <w:vAlign w:val="center"/>
          </w:tcPr>
          <w:p w14:paraId="21C0F5A6"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Percentual de membros efetivos do CA independentes</w:t>
            </w:r>
          </w:p>
        </w:tc>
        <w:tc>
          <w:tcPr>
            <w:tcW w:w="1257" w:type="dxa"/>
            <w:vMerge/>
            <w:vAlign w:val="center"/>
          </w:tcPr>
          <w:p w14:paraId="029C9383"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1A0B89C5" w14:textId="77777777" w:rsidTr="006C3B18">
        <w:trPr>
          <w:trHeight w:val="20"/>
          <w:jc w:val="center"/>
        </w:trPr>
        <w:tc>
          <w:tcPr>
            <w:tcW w:w="1370" w:type="dxa"/>
            <w:vMerge/>
            <w:tcBorders>
              <w:top w:val="nil"/>
              <w:bottom w:val="single" w:sz="4" w:space="0" w:color="auto"/>
            </w:tcBorders>
            <w:vAlign w:val="center"/>
          </w:tcPr>
          <w:p w14:paraId="1327FDC5"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vAlign w:val="center"/>
          </w:tcPr>
          <w:p w14:paraId="003F2711"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Conselheiros externos</w:t>
            </w:r>
          </w:p>
        </w:tc>
        <w:tc>
          <w:tcPr>
            <w:tcW w:w="2890" w:type="dxa"/>
            <w:vAlign w:val="center"/>
          </w:tcPr>
          <w:p w14:paraId="11CA6902"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Percentual de membros efetivos do CA que não têm outra função na administração da empresa</w:t>
            </w:r>
          </w:p>
        </w:tc>
        <w:tc>
          <w:tcPr>
            <w:tcW w:w="1257" w:type="dxa"/>
            <w:vMerge/>
            <w:vAlign w:val="center"/>
          </w:tcPr>
          <w:p w14:paraId="1D2B1D30"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21DF4CD2" w14:textId="77777777" w:rsidTr="006C3B18">
        <w:trPr>
          <w:trHeight w:val="20"/>
          <w:jc w:val="center"/>
        </w:trPr>
        <w:tc>
          <w:tcPr>
            <w:tcW w:w="1370" w:type="dxa"/>
            <w:vMerge/>
            <w:tcBorders>
              <w:top w:val="nil"/>
              <w:bottom w:val="single" w:sz="4" w:space="0" w:color="auto"/>
            </w:tcBorders>
            <w:vAlign w:val="center"/>
          </w:tcPr>
          <w:p w14:paraId="47B1139F"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vAlign w:val="center"/>
          </w:tcPr>
          <w:p w14:paraId="6F4A986B"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Dualidade do CEO</w:t>
            </w:r>
          </w:p>
        </w:tc>
        <w:tc>
          <w:tcPr>
            <w:tcW w:w="2890" w:type="dxa"/>
            <w:vAlign w:val="center"/>
          </w:tcPr>
          <w:p w14:paraId="1BC64306"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Sobreposição entre as funções de diretor presidente e presidente de conselho de administração</w:t>
            </w:r>
          </w:p>
        </w:tc>
        <w:tc>
          <w:tcPr>
            <w:tcW w:w="1257" w:type="dxa"/>
            <w:vMerge/>
            <w:vAlign w:val="center"/>
          </w:tcPr>
          <w:p w14:paraId="2006044A"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7E74B11E" w14:textId="77777777" w:rsidTr="006C3B18">
        <w:trPr>
          <w:trHeight w:val="20"/>
          <w:jc w:val="center"/>
        </w:trPr>
        <w:tc>
          <w:tcPr>
            <w:tcW w:w="1370" w:type="dxa"/>
            <w:vMerge/>
            <w:tcBorders>
              <w:top w:val="nil"/>
              <w:bottom w:val="single" w:sz="4" w:space="0" w:color="auto"/>
            </w:tcBorders>
            <w:vAlign w:val="center"/>
          </w:tcPr>
          <w:p w14:paraId="0E92E823"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tcBorders>
              <w:bottom w:val="nil"/>
            </w:tcBorders>
            <w:vAlign w:val="center"/>
          </w:tcPr>
          <w:p w14:paraId="34E04402"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Relações de subordinação</w:t>
            </w:r>
          </w:p>
        </w:tc>
        <w:tc>
          <w:tcPr>
            <w:tcW w:w="2890" w:type="dxa"/>
            <w:tcBorders>
              <w:bottom w:val="nil"/>
            </w:tcBorders>
            <w:vAlign w:val="center"/>
          </w:tcPr>
          <w:p w14:paraId="1A9DCA89"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Presença de relações de subordinação entre administradores (membros da DE e do CA)</w:t>
            </w:r>
          </w:p>
        </w:tc>
        <w:tc>
          <w:tcPr>
            <w:tcW w:w="1257" w:type="dxa"/>
            <w:tcBorders>
              <w:bottom w:val="nil"/>
            </w:tcBorders>
            <w:vAlign w:val="center"/>
          </w:tcPr>
          <w:p w14:paraId="326F9A06"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Item 12.10 do FR</w:t>
            </w:r>
          </w:p>
        </w:tc>
      </w:tr>
      <w:tr w:rsidR="006B566E" w:rsidRPr="006C3B18" w14:paraId="0853ED2A" w14:textId="77777777" w:rsidTr="006C3B18">
        <w:trPr>
          <w:trHeight w:val="20"/>
          <w:jc w:val="center"/>
        </w:trPr>
        <w:tc>
          <w:tcPr>
            <w:tcW w:w="1370" w:type="dxa"/>
            <w:vMerge/>
            <w:tcBorders>
              <w:top w:val="nil"/>
              <w:bottom w:val="single" w:sz="4" w:space="0" w:color="auto"/>
            </w:tcBorders>
            <w:vAlign w:val="center"/>
          </w:tcPr>
          <w:p w14:paraId="5DBBBD0A"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tcBorders>
              <w:top w:val="nil"/>
              <w:bottom w:val="single" w:sz="4" w:space="0" w:color="auto"/>
            </w:tcBorders>
            <w:vAlign w:val="center"/>
          </w:tcPr>
          <w:p w14:paraId="06500D44"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Relações familiares</w:t>
            </w:r>
          </w:p>
        </w:tc>
        <w:tc>
          <w:tcPr>
            <w:tcW w:w="2890" w:type="dxa"/>
            <w:tcBorders>
              <w:top w:val="nil"/>
              <w:bottom w:val="single" w:sz="4" w:space="0" w:color="auto"/>
            </w:tcBorders>
            <w:vAlign w:val="center"/>
          </w:tcPr>
          <w:p w14:paraId="48199B01"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Presença de relações familiares entre administradores (membros da DE e do CA)</w:t>
            </w:r>
          </w:p>
        </w:tc>
        <w:tc>
          <w:tcPr>
            <w:tcW w:w="1257" w:type="dxa"/>
            <w:tcBorders>
              <w:top w:val="nil"/>
              <w:bottom w:val="single" w:sz="4" w:space="0" w:color="auto"/>
            </w:tcBorders>
            <w:vAlign w:val="center"/>
          </w:tcPr>
          <w:p w14:paraId="195C6323"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Item 12.9 do FR</w:t>
            </w:r>
          </w:p>
        </w:tc>
      </w:tr>
      <w:tr w:rsidR="006B566E" w:rsidRPr="006C3B18" w14:paraId="1FC4AD69" w14:textId="77777777" w:rsidTr="006C3B18">
        <w:trPr>
          <w:trHeight w:val="20"/>
          <w:jc w:val="center"/>
        </w:trPr>
        <w:tc>
          <w:tcPr>
            <w:tcW w:w="1370" w:type="dxa"/>
            <w:vMerge w:val="restart"/>
            <w:tcBorders>
              <w:top w:val="single" w:sz="4" w:space="0" w:color="auto"/>
            </w:tcBorders>
            <w:vAlign w:val="center"/>
          </w:tcPr>
          <w:p w14:paraId="16BE279F" w14:textId="77777777" w:rsidR="006B566E" w:rsidRPr="006C3B18" w:rsidRDefault="006B566E" w:rsidP="006C3B18">
            <w:pPr>
              <w:keepNext/>
              <w:widowControl/>
              <w:spacing w:line="240" w:lineRule="auto"/>
              <w:jc w:val="center"/>
              <w:rPr>
                <w:rFonts w:ascii="Arial" w:hAnsi="Arial" w:cs="Arial"/>
                <w:color w:val="000000"/>
                <w:sz w:val="16"/>
                <w:szCs w:val="16"/>
              </w:rPr>
            </w:pPr>
            <w:r w:rsidRPr="006C3B18">
              <w:rPr>
                <w:rFonts w:ascii="Arial" w:hAnsi="Arial" w:cs="Arial"/>
                <w:color w:val="000000"/>
                <w:sz w:val="16"/>
                <w:szCs w:val="16"/>
              </w:rPr>
              <w:t>Incentivo</w:t>
            </w:r>
          </w:p>
        </w:tc>
        <w:tc>
          <w:tcPr>
            <w:tcW w:w="2551" w:type="dxa"/>
            <w:tcBorders>
              <w:top w:val="single" w:sz="4" w:space="0" w:color="auto"/>
            </w:tcBorders>
            <w:vAlign w:val="center"/>
          </w:tcPr>
          <w:p w14:paraId="1802BD8E"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Avaliação da DE</w:t>
            </w:r>
          </w:p>
        </w:tc>
        <w:tc>
          <w:tcPr>
            <w:tcW w:w="2890" w:type="dxa"/>
            <w:tcBorders>
              <w:top w:val="single" w:sz="4" w:space="0" w:color="auto"/>
            </w:tcBorders>
            <w:vAlign w:val="center"/>
          </w:tcPr>
          <w:p w14:paraId="3C2EAC4E"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Presença de mecanismos de avaliação dos membros da DE</w:t>
            </w:r>
          </w:p>
        </w:tc>
        <w:tc>
          <w:tcPr>
            <w:tcW w:w="1257" w:type="dxa"/>
            <w:vMerge w:val="restart"/>
            <w:tcBorders>
              <w:top w:val="single" w:sz="4" w:space="0" w:color="auto"/>
            </w:tcBorders>
            <w:vAlign w:val="center"/>
          </w:tcPr>
          <w:p w14:paraId="6594FD42"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Item 12.1 do FR</w:t>
            </w:r>
          </w:p>
        </w:tc>
      </w:tr>
      <w:tr w:rsidR="006B566E" w:rsidRPr="006C3B18" w14:paraId="0720E043" w14:textId="77777777" w:rsidTr="006C3B18">
        <w:trPr>
          <w:trHeight w:val="20"/>
          <w:jc w:val="center"/>
        </w:trPr>
        <w:tc>
          <w:tcPr>
            <w:tcW w:w="1370" w:type="dxa"/>
            <w:vMerge/>
            <w:vAlign w:val="center"/>
          </w:tcPr>
          <w:p w14:paraId="573D6637" w14:textId="77777777" w:rsidR="006B566E" w:rsidRPr="006C3B18" w:rsidRDefault="006B566E" w:rsidP="006C3B18">
            <w:pPr>
              <w:keepNext/>
              <w:widowControl/>
              <w:spacing w:line="240" w:lineRule="auto"/>
              <w:jc w:val="center"/>
              <w:rPr>
                <w:rFonts w:ascii="Arial" w:hAnsi="Arial" w:cs="Arial"/>
                <w:color w:val="000000"/>
                <w:sz w:val="16"/>
                <w:szCs w:val="16"/>
              </w:rPr>
            </w:pPr>
          </w:p>
        </w:tc>
        <w:tc>
          <w:tcPr>
            <w:tcW w:w="2551" w:type="dxa"/>
            <w:vAlign w:val="center"/>
          </w:tcPr>
          <w:p w14:paraId="69873A59"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Avaliação do CA</w:t>
            </w:r>
          </w:p>
        </w:tc>
        <w:tc>
          <w:tcPr>
            <w:tcW w:w="2890" w:type="dxa"/>
            <w:vAlign w:val="center"/>
          </w:tcPr>
          <w:p w14:paraId="03D65788"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Presença de mecanismos de avaliação dos membros do CA</w:t>
            </w:r>
          </w:p>
        </w:tc>
        <w:tc>
          <w:tcPr>
            <w:tcW w:w="1257" w:type="dxa"/>
            <w:vMerge/>
            <w:vAlign w:val="center"/>
          </w:tcPr>
          <w:p w14:paraId="50E89ECC"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7B62B219" w14:textId="77777777" w:rsidTr="006C3B18">
        <w:trPr>
          <w:trHeight w:val="20"/>
          <w:jc w:val="center"/>
        </w:trPr>
        <w:tc>
          <w:tcPr>
            <w:tcW w:w="1370" w:type="dxa"/>
            <w:vMerge/>
            <w:vAlign w:val="center"/>
          </w:tcPr>
          <w:p w14:paraId="13483040" w14:textId="77777777" w:rsidR="006B566E" w:rsidRPr="006C3B18" w:rsidRDefault="006B566E" w:rsidP="006C3B18">
            <w:pPr>
              <w:keepNext/>
              <w:widowControl/>
              <w:spacing w:line="240" w:lineRule="auto"/>
              <w:jc w:val="center"/>
              <w:rPr>
                <w:rFonts w:ascii="Arial" w:hAnsi="Arial" w:cs="Arial"/>
                <w:sz w:val="16"/>
                <w:szCs w:val="16"/>
                <w:lang w:eastAsia="en-US"/>
              </w:rPr>
            </w:pPr>
          </w:p>
        </w:tc>
        <w:tc>
          <w:tcPr>
            <w:tcW w:w="2551" w:type="dxa"/>
            <w:vAlign w:val="center"/>
          </w:tcPr>
          <w:p w14:paraId="536FCCC8"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Remuneração variável da DE</w:t>
            </w:r>
          </w:p>
        </w:tc>
        <w:tc>
          <w:tcPr>
            <w:tcW w:w="2890" w:type="dxa"/>
            <w:vAlign w:val="center"/>
          </w:tcPr>
          <w:p w14:paraId="03100414"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Variável binária indicativa de remuneração variável para membros da DE</w:t>
            </w:r>
          </w:p>
        </w:tc>
        <w:tc>
          <w:tcPr>
            <w:tcW w:w="1257" w:type="dxa"/>
            <w:vMerge w:val="restart"/>
            <w:vAlign w:val="center"/>
          </w:tcPr>
          <w:p w14:paraId="18792A91"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Itens 13.1 e 13.2 do FR</w:t>
            </w:r>
          </w:p>
        </w:tc>
      </w:tr>
      <w:tr w:rsidR="006B566E" w:rsidRPr="006C3B18" w14:paraId="032ECEFB" w14:textId="77777777" w:rsidTr="006C3B18">
        <w:trPr>
          <w:trHeight w:val="20"/>
          <w:jc w:val="center"/>
        </w:trPr>
        <w:tc>
          <w:tcPr>
            <w:tcW w:w="1370" w:type="dxa"/>
            <w:vMerge/>
          </w:tcPr>
          <w:p w14:paraId="14576D7C" w14:textId="77777777" w:rsidR="006B566E" w:rsidRPr="006C3B18" w:rsidRDefault="006B566E" w:rsidP="006C3B18">
            <w:pPr>
              <w:keepNext/>
              <w:widowControl/>
              <w:spacing w:line="240" w:lineRule="auto"/>
              <w:jc w:val="center"/>
              <w:rPr>
                <w:rFonts w:ascii="Arial" w:hAnsi="Arial" w:cs="Arial"/>
                <w:sz w:val="16"/>
                <w:szCs w:val="16"/>
                <w:lang w:eastAsia="en-US"/>
              </w:rPr>
            </w:pPr>
          </w:p>
        </w:tc>
        <w:tc>
          <w:tcPr>
            <w:tcW w:w="2551" w:type="dxa"/>
            <w:vAlign w:val="center"/>
          </w:tcPr>
          <w:p w14:paraId="790FE005"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Remuneração de longo prazo da DE</w:t>
            </w:r>
          </w:p>
        </w:tc>
        <w:tc>
          <w:tcPr>
            <w:tcW w:w="2890" w:type="dxa"/>
            <w:vAlign w:val="center"/>
          </w:tcPr>
          <w:p w14:paraId="711225EF"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Variável binária indicativa de remuneração de longo prazo para membros da DE</w:t>
            </w:r>
          </w:p>
        </w:tc>
        <w:tc>
          <w:tcPr>
            <w:tcW w:w="1257" w:type="dxa"/>
            <w:vMerge/>
            <w:vAlign w:val="center"/>
          </w:tcPr>
          <w:p w14:paraId="6046476B"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2EA57564" w14:textId="77777777" w:rsidTr="006C3B18">
        <w:trPr>
          <w:trHeight w:val="20"/>
          <w:jc w:val="center"/>
        </w:trPr>
        <w:tc>
          <w:tcPr>
            <w:tcW w:w="1370" w:type="dxa"/>
            <w:vMerge/>
          </w:tcPr>
          <w:p w14:paraId="35C7375F" w14:textId="77777777" w:rsidR="006B566E" w:rsidRPr="006C3B18" w:rsidRDefault="006B566E" w:rsidP="006C3B18">
            <w:pPr>
              <w:keepNext/>
              <w:widowControl/>
              <w:spacing w:line="240" w:lineRule="auto"/>
              <w:jc w:val="center"/>
              <w:rPr>
                <w:rFonts w:ascii="Arial" w:hAnsi="Arial" w:cs="Arial"/>
                <w:sz w:val="16"/>
                <w:szCs w:val="16"/>
                <w:lang w:eastAsia="en-US"/>
              </w:rPr>
            </w:pPr>
          </w:p>
        </w:tc>
        <w:tc>
          <w:tcPr>
            <w:tcW w:w="2551" w:type="dxa"/>
            <w:vAlign w:val="center"/>
          </w:tcPr>
          <w:p w14:paraId="36A3F63B"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Remuneração variável do CA</w:t>
            </w:r>
          </w:p>
        </w:tc>
        <w:tc>
          <w:tcPr>
            <w:tcW w:w="2890" w:type="dxa"/>
            <w:vAlign w:val="center"/>
          </w:tcPr>
          <w:p w14:paraId="4B2A0130"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Variável binária indicativa de remuneração variável para membros do CA</w:t>
            </w:r>
          </w:p>
        </w:tc>
        <w:tc>
          <w:tcPr>
            <w:tcW w:w="1257" w:type="dxa"/>
            <w:vMerge/>
            <w:vAlign w:val="center"/>
          </w:tcPr>
          <w:p w14:paraId="257C5A6B" w14:textId="77777777" w:rsidR="006B566E" w:rsidRPr="006C3B18" w:rsidRDefault="006B566E" w:rsidP="006C3B18">
            <w:pPr>
              <w:keepNext/>
              <w:widowControl/>
              <w:spacing w:line="240" w:lineRule="auto"/>
              <w:jc w:val="center"/>
              <w:rPr>
                <w:rFonts w:ascii="Arial" w:hAnsi="Arial" w:cs="Arial"/>
                <w:sz w:val="16"/>
                <w:szCs w:val="16"/>
                <w:lang w:eastAsia="en-US"/>
              </w:rPr>
            </w:pPr>
          </w:p>
        </w:tc>
      </w:tr>
      <w:tr w:rsidR="006B566E" w:rsidRPr="006C3B18" w14:paraId="38970A9B" w14:textId="77777777" w:rsidTr="006C3B18">
        <w:trPr>
          <w:trHeight w:val="20"/>
          <w:jc w:val="center"/>
        </w:trPr>
        <w:tc>
          <w:tcPr>
            <w:tcW w:w="1370" w:type="dxa"/>
            <w:vMerge/>
          </w:tcPr>
          <w:p w14:paraId="1C9551DA" w14:textId="77777777" w:rsidR="006B566E" w:rsidRPr="006C3B18" w:rsidRDefault="006B566E" w:rsidP="006C3B18">
            <w:pPr>
              <w:keepNext/>
              <w:widowControl/>
              <w:spacing w:line="240" w:lineRule="auto"/>
              <w:jc w:val="center"/>
              <w:rPr>
                <w:rFonts w:ascii="Arial" w:hAnsi="Arial" w:cs="Arial"/>
                <w:sz w:val="16"/>
                <w:szCs w:val="16"/>
                <w:lang w:eastAsia="en-US"/>
              </w:rPr>
            </w:pPr>
          </w:p>
        </w:tc>
        <w:tc>
          <w:tcPr>
            <w:tcW w:w="2551" w:type="dxa"/>
            <w:vAlign w:val="center"/>
          </w:tcPr>
          <w:p w14:paraId="2771C77A"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color w:val="000000"/>
                <w:sz w:val="16"/>
                <w:szCs w:val="16"/>
              </w:rPr>
              <w:t>Remuneração de longo prazo do CA</w:t>
            </w:r>
          </w:p>
        </w:tc>
        <w:tc>
          <w:tcPr>
            <w:tcW w:w="2890" w:type="dxa"/>
            <w:vAlign w:val="center"/>
          </w:tcPr>
          <w:p w14:paraId="52FE5E66" w14:textId="77777777" w:rsidR="006B566E" w:rsidRPr="006C3B18" w:rsidRDefault="006B566E" w:rsidP="006C3B18">
            <w:pPr>
              <w:keepNext/>
              <w:widowControl/>
              <w:spacing w:line="240" w:lineRule="auto"/>
              <w:jc w:val="center"/>
              <w:rPr>
                <w:rFonts w:ascii="Arial" w:hAnsi="Arial" w:cs="Arial"/>
                <w:sz w:val="16"/>
                <w:szCs w:val="16"/>
                <w:lang w:eastAsia="en-US"/>
              </w:rPr>
            </w:pPr>
            <w:r w:rsidRPr="006C3B18">
              <w:rPr>
                <w:rFonts w:ascii="Arial" w:hAnsi="Arial" w:cs="Arial"/>
                <w:sz w:val="16"/>
                <w:szCs w:val="16"/>
                <w:lang w:eastAsia="en-US"/>
              </w:rPr>
              <w:t>Variável binária indicativa de remuneração de longo prazo para membros do CA</w:t>
            </w:r>
          </w:p>
        </w:tc>
        <w:tc>
          <w:tcPr>
            <w:tcW w:w="1257" w:type="dxa"/>
            <w:vMerge/>
            <w:vAlign w:val="center"/>
          </w:tcPr>
          <w:p w14:paraId="0378490C" w14:textId="77777777" w:rsidR="006B566E" w:rsidRPr="006C3B18" w:rsidRDefault="006B566E" w:rsidP="006C3B18">
            <w:pPr>
              <w:keepNext/>
              <w:widowControl/>
              <w:spacing w:line="240" w:lineRule="auto"/>
              <w:jc w:val="center"/>
              <w:rPr>
                <w:rFonts w:ascii="Arial" w:hAnsi="Arial" w:cs="Arial"/>
                <w:sz w:val="16"/>
                <w:szCs w:val="16"/>
                <w:lang w:eastAsia="en-US"/>
              </w:rPr>
            </w:pPr>
          </w:p>
        </w:tc>
      </w:tr>
    </w:tbl>
    <w:p w14:paraId="157EAD75" w14:textId="77777777" w:rsidR="006B566E" w:rsidRPr="006B566E" w:rsidRDefault="006B566E" w:rsidP="006C3B18">
      <w:pPr>
        <w:widowControl/>
        <w:spacing w:before="40" w:after="240" w:line="240" w:lineRule="auto"/>
        <w:rPr>
          <w:rFonts w:ascii="Arial" w:eastAsia="Calibri" w:hAnsi="Arial" w:cs="Arial"/>
          <w:sz w:val="16"/>
          <w:szCs w:val="16"/>
          <w:lang w:eastAsia="en-US"/>
        </w:rPr>
      </w:pPr>
      <w:r w:rsidRPr="006B566E">
        <w:rPr>
          <w:rFonts w:ascii="Arial" w:eastAsia="Calibri" w:hAnsi="Arial" w:cs="Arial"/>
          <w:b/>
          <w:sz w:val="16"/>
          <w:szCs w:val="16"/>
          <w:lang w:eastAsia="en-US"/>
        </w:rPr>
        <w:t xml:space="preserve">CA: </w:t>
      </w:r>
      <w:r w:rsidRPr="006B566E">
        <w:rPr>
          <w:rFonts w:ascii="Arial" w:eastAsia="Calibri" w:hAnsi="Arial" w:cs="Arial"/>
          <w:sz w:val="16"/>
          <w:szCs w:val="16"/>
          <w:lang w:eastAsia="en-US"/>
        </w:rPr>
        <w:t xml:space="preserve">conselho de administração. </w:t>
      </w:r>
      <w:r w:rsidRPr="006B566E">
        <w:rPr>
          <w:rFonts w:ascii="Arial" w:eastAsia="Calibri" w:hAnsi="Arial" w:cs="Arial"/>
          <w:b/>
          <w:sz w:val="16"/>
          <w:szCs w:val="16"/>
          <w:lang w:eastAsia="en-US"/>
        </w:rPr>
        <w:t xml:space="preserve">DE: </w:t>
      </w:r>
      <w:r w:rsidRPr="006B566E">
        <w:rPr>
          <w:rFonts w:ascii="Arial" w:eastAsia="Calibri" w:hAnsi="Arial" w:cs="Arial"/>
          <w:sz w:val="16"/>
          <w:szCs w:val="16"/>
          <w:lang w:eastAsia="en-US"/>
        </w:rPr>
        <w:t xml:space="preserve">diretoria executiva. </w:t>
      </w:r>
      <w:r w:rsidRPr="006B566E">
        <w:rPr>
          <w:rFonts w:ascii="Arial" w:eastAsia="Calibri" w:hAnsi="Arial" w:cs="Arial"/>
          <w:b/>
          <w:sz w:val="16"/>
          <w:szCs w:val="16"/>
          <w:lang w:eastAsia="en-US"/>
        </w:rPr>
        <w:t xml:space="preserve">FR: </w:t>
      </w:r>
      <w:r w:rsidRPr="006B566E">
        <w:rPr>
          <w:rFonts w:ascii="Arial" w:eastAsia="Calibri" w:hAnsi="Arial" w:cs="Arial"/>
          <w:sz w:val="16"/>
          <w:szCs w:val="16"/>
          <w:lang w:eastAsia="en-US"/>
        </w:rPr>
        <w:t>formulário de referência.</w:t>
      </w:r>
    </w:p>
    <w:p w14:paraId="37D1307B" w14:textId="77777777" w:rsidR="006B566E" w:rsidRPr="00ED1A0B" w:rsidRDefault="006B566E" w:rsidP="006C3B18">
      <w:pPr>
        <w:widowControl/>
        <w:spacing w:before="240" w:line="240" w:lineRule="auto"/>
        <w:ind w:firstLine="709"/>
        <w:rPr>
          <w:rFonts w:ascii="Arial" w:eastAsia="Calibri" w:hAnsi="Arial" w:cs="Arial"/>
          <w:spacing w:val="-4"/>
          <w:sz w:val="18"/>
          <w:szCs w:val="18"/>
          <w:lang w:eastAsia="en-US"/>
        </w:rPr>
      </w:pPr>
      <w:r w:rsidRPr="00ED1A0B">
        <w:rPr>
          <w:rFonts w:ascii="Arial" w:eastAsia="Calibri" w:hAnsi="Arial" w:cs="Arial"/>
          <w:spacing w:val="-4"/>
          <w:sz w:val="18"/>
          <w:szCs w:val="18"/>
          <w:lang w:eastAsia="en-US"/>
        </w:rPr>
        <w:t>Após a coleta de dados sobre as práticas da administração realizou-se análise de componentes principais, a fim de identificar as principais características que diferenciam a composição e os mecanismos de incentivo dos órgãos de administração. As características da administração foram mensuradas a partir dos fatores resultantes da análise de componentes principais realizada.</w:t>
      </w:r>
    </w:p>
    <w:p w14:paraId="6F3DA364" w14:textId="77777777" w:rsidR="006B566E" w:rsidRPr="00ED1A0B" w:rsidRDefault="006B566E" w:rsidP="006C3B18">
      <w:pPr>
        <w:widowControl/>
        <w:spacing w:before="240" w:line="240" w:lineRule="auto"/>
        <w:ind w:firstLine="709"/>
        <w:rPr>
          <w:rFonts w:ascii="Arial" w:eastAsia="Calibri" w:hAnsi="Arial" w:cs="Arial"/>
          <w:spacing w:val="-6"/>
          <w:sz w:val="18"/>
          <w:szCs w:val="18"/>
          <w:lang w:eastAsia="en-US"/>
        </w:rPr>
      </w:pPr>
      <w:r w:rsidRPr="00ED1A0B">
        <w:rPr>
          <w:rFonts w:ascii="Arial" w:eastAsia="Calibri" w:hAnsi="Arial" w:cs="Arial"/>
          <w:spacing w:val="-6"/>
          <w:sz w:val="18"/>
          <w:szCs w:val="18"/>
          <w:lang w:eastAsia="en-US"/>
        </w:rPr>
        <w:t xml:space="preserve">O controle acionário foi categorizado por meio de análise e conteúdo, a partir de dados extraídos do item 15 (controle e grupo econômico) do formulário de referência, disponível no </w:t>
      </w:r>
      <w:r w:rsidRPr="00ED1A0B">
        <w:rPr>
          <w:rFonts w:ascii="Arial" w:eastAsia="Calibri" w:hAnsi="Arial" w:cs="Arial"/>
          <w:i/>
          <w:spacing w:val="-6"/>
          <w:sz w:val="18"/>
          <w:szCs w:val="18"/>
          <w:lang w:eastAsia="en-US"/>
        </w:rPr>
        <w:t xml:space="preserve">website </w:t>
      </w:r>
      <w:r w:rsidRPr="00ED1A0B">
        <w:rPr>
          <w:rFonts w:ascii="Arial" w:eastAsia="Calibri" w:hAnsi="Arial" w:cs="Arial"/>
          <w:spacing w:val="-6"/>
          <w:sz w:val="18"/>
          <w:szCs w:val="18"/>
          <w:lang w:eastAsia="en-US"/>
        </w:rPr>
        <w:t>da CVM, seguindo a metodologia de Crisóstomo e Brandão (2019). No item 15.3 a empresa deve declarar se existe, ou não, um acionista que controla a empresa e divulgar seus(s) nome(s). Os itens 15.1 e 15.2 referem-se à estrutura piramidal de propriedade da empresa, que permite confirmar as informações prestadas no item 15.3.</w:t>
      </w:r>
    </w:p>
    <w:p w14:paraId="2AB222D3" w14:textId="77777777" w:rsidR="006B566E" w:rsidRPr="006C3B18" w:rsidRDefault="006B566E" w:rsidP="006C3B18">
      <w:pPr>
        <w:widowControl/>
        <w:spacing w:before="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t xml:space="preserve">Após a identificação do acionista controlador, o tipo de controle acionário foi classificado em cinco grupos: familiar, quando o acionista controlador é uma pessoa física ou grupo de pessoas </w:t>
      </w:r>
      <w:r w:rsidRPr="006C3B18">
        <w:rPr>
          <w:rFonts w:ascii="Arial" w:eastAsia="Calibri" w:hAnsi="Arial" w:cs="Arial"/>
          <w:sz w:val="18"/>
          <w:szCs w:val="18"/>
          <w:lang w:eastAsia="en-US"/>
        </w:rPr>
        <w:lastRenderedPageBreak/>
        <w:t>físicas pertencentes à mesma família; governamental, quando o acionista controlador é um ente estatal; empresarial, quando a empresa faz parte de grupo econômico, e o acionista controlador é uma empresa; compartilhado, quando há mais de um acionista controlador, e estes não pertencem ao mesmo grupo econômico ou à mesma família; e disperso, quando não há acionista controlador (Crisóstomo &amp; Brandão, 2019). Cabe destacar que em 11 observações foi identificado como acionista controlador investidor institucional (fundos de investimento sem acionista controlador definido e fundos de pensão), que foram categorizadas como controle empresarial.</w:t>
      </w:r>
    </w:p>
    <w:p w14:paraId="0EEEB6EC" w14:textId="77777777" w:rsidR="006B566E" w:rsidRPr="006C3B18" w:rsidRDefault="006B566E" w:rsidP="006C3B18">
      <w:pPr>
        <w:widowControl/>
        <w:spacing w:before="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t xml:space="preserve">Dados financeiros e de mercado foram extraídos da base de dados Economática®. O valor de da empresa foi mensurado pelo índice </w:t>
      </w:r>
      <w:r w:rsidRPr="006C3B18">
        <w:rPr>
          <w:rFonts w:ascii="Arial" w:eastAsia="Calibri" w:hAnsi="Arial" w:cs="Arial"/>
          <w:i/>
          <w:sz w:val="18"/>
          <w:szCs w:val="18"/>
          <w:lang w:eastAsia="en-US"/>
        </w:rPr>
        <w:t>market-to-book</w:t>
      </w:r>
      <w:r w:rsidRPr="006C3B18">
        <w:rPr>
          <w:rFonts w:ascii="Arial" w:eastAsia="Calibri" w:hAnsi="Arial" w:cs="Arial"/>
          <w:sz w:val="18"/>
          <w:szCs w:val="18"/>
          <w:lang w:eastAsia="en-US"/>
        </w:rPr>
        <w:t xml:space="preserve"> (MB), calculado pela razão entre o valor de mercado e o valor contábil do patrimônio líquido em </w:t>
      </w:r>
      <w:r w:rsidRPr="006C3B18">
        <w:rPr>
          <w:rFonts w:ascii="Arial" w:eastAsia="Calibri" w:hAnsi="Arial" w:cs="Arial"/>
          <w:i/>
          <w:sz w:val="18"/>
          <w:szCs w:val="18"/>
          <w:lang w:eastAsia="en-US"/>
        </w:rPr>
        <w:t>t</w:t>
      </w:r>
      <w:r w:rsidRPr="006C3B18">
        <w:rPr>
          <w:rFonts w:ascii="Arial" w:eastAsia="Calibri" w:hAnsi="Arial" w:cs="Arial"/>
          <w:sz w:val="18"/>
          <w:szCs w:val="18"/>
          <w:lang w:eastAsia="en-US"/>
        </w:rPr>
        <w:t xml:space="preserve">. Optou-se por esta métrica para verificar a percepção dos investidores no mercado de ações quanto ao valor da empresa, e também para incluir na amostra empresas do setor financeiro. Outras variáveis financeiras foram utilizadas nas estimações como variáveis de controle: o tamanho da empresa, mensurado pelo logaritmo natural do ativo total da empresa no período </w:t>
      </w:r>
      <w:r w:rsidRPr="006C3B18">
        <w:rPr>
          <w:rFonts w:ascii="Arial" w:eastAsia="Calibri" w:hAnsi="Arial" w:cs="Arial"/>
          <w:i/>
          <w:sz w:val="18"/>
          <w:szCs w:val="18"/>
          <w:lang w:eastAsia="en-US"/>
        </w:rPr>
        <w:t>t</w:t>
      </w:r>
      <w:r w:rsidRPr="006C3B18">
        <w:rPr>
          <w:rFonts w:ascii="Arial" w:eastAsia="Calibri" w:hAnsi="Arial" w:cs="Arial"/>
          <w:sz w:val="18"/>
          <w:szCs w:val="18"/>
          <w:lang w:eastAsia="en-US"/>
        </w:rPr>
        <w:t xml:space="preserve">; e o retorno sobre o patrimônio líquido, calculado pela razão entre o resultado líquido em </w:t>
      </w:r>
      <w:r w:rsidRPr="006C3B18">
        <w:rPr>
          <w:rFonts w:ascii="Arial" w:eastAsia="Calibri" w:hAnsi="Arial" w:cs="Arial"/>
          <w:i/>
          <w:sz w:val="18"/>
          <w:szCs w:val="18"/>
          <w:lang w:eastAsia="en-US"/>
        </w:rPr>
        <w:t xml:space="preserve">t </w:t>
      </w:r>
      <w:r w:rsidRPr="006C3B18">
        <w:rPr>
          <w:rFonts w:ascii="Arial" w:eastAsia="Calibri" w:hAnsi="Arial" w:cs="Arial"/>
          <w:sz w:val="18"/>
          <w:szCs w:val="18"/>
          <w:lang w:eastAsia="en-US"/>
        </w:rPr>
        <w:t xml:space="preserve">e o patrimônio líquido m </w:t>
      </w:r>
      <w:r w:rsidRPr="006C3B18">
        <w:rPr>
          <w:rFonts w:ascii="Arial" w:eastAsia="Calibri" w:hAnsi="Arial" w:cs="Arial"/>
          <w:i/>
          <w:sz w:val="18"/>
          <w:szCs w:val="18"/>
          <w:lang w:eastAsia="en-US"/>
        </w:rPr>
        <w:t>t – 1</w:t>
      </w:r>
      <w:r w:rsidRPr="006C3B18">
        <w:rPr>
          <w:rFonts w:ascii="Arial" w:eastAsia="Calibri" w:hAnsi="Arial" w:cs="Arial"/>
          <w:sz w:val="18"/>
          <w:szCs w:val="18"/>
          <w:lang w:eastAsia="en-US"/>
        </w:rPr>
        <w:t>. As estimações também foram controladas por efeitos fixos do setor e do ano da observação.</w:t>
      </w:r>
    </w:p>
    <w:p w14:paraId="76EC2D09" w14:textId="77777777" w:rsidR="006B566E" w:rsidRPr="006C3B18" w:rsidRDefault="006C3B18" w:rsidP="006C3B18">
      <w:pPr>
        <w:keepNext/>
        <w:keepLines/>
        <w:widowControl/>
        <w:spacing w:before="360" w:after="240" w:line="240" w:lineRule="auto"/>
        <w:outlineLvl w:val="0"/>
        <w:rPr>
          <w:rFonts w:ascii="Arial" w:hAnsi="Arial" w:cs="Arial"/>
          <w:b/>
          <w:sz w:val="20"/>
          <w:szCs w:val="20"/>
          <w:lang w:eastAsia="x-none"/>
        </w:rPr>
      </w:pPr>
      <w:r w:rsidRPr="006C3B18">
        <w:rPr>
          <w:rFonts w:ascii="Arial" w:hAnsi="Arial" w:cs="Arial"/>
          <w:b/>
          <w:sz w:val="20"/>
          <w:szCs w:val="20"/>
          <w:lang w:eastAsia="x-none"/>
        </w:rPr>
        <w:t xml:space="preserve">3.3 </w:t>
      </w:r>
      <w:r w:rsidR="006B566E" w:rsidRPr="006C3B18">
        <w:rPr>
          <w:rFonts w:ascii="Arial" w:hAnsi="Arial" w:cs="Arial"/>
          <w:b/>
          <w:sz w:val="20"/>
          <w:szCs w:val="20"/>
          <w:lang w:eastAsia="x-none"/>
        </w:rPr>
        <w:t>Modelos empíricos e procedimentos estatísticos</w:t>
      </w:r>
    </w:p>
    <w:p w14:paraId="5D88A00A" w14:textId="77777777" w:rsidR="006B566E" w:rsidRPr="006C3B18" w:rsidRDefault="006B566E" w:rsidP="006C3B18">
      <w:pPr>
        <w:widowControl/>
        <w:spacing w:before="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t xml:space="preserve">A relação entre tipo de controle acionário e características da administração foi analisada por meio de estimações segundo o modelo da equação (1), em que: ADM são as características da administração da empresa </w:t>
      </w:r>
      <w:r w:rsidRPr="006C3B18">
        <w:rPr>
          <w:rFonts w:ascii="Arial" w:eastAsia="Calibri" w:hAnsi="Arial" w:cs="Arial"/>
          <w:i/>
          <w:sz w:val="18"/>
          <w:szCs w:val="18"/>
          <w:lang w:eastAsia="en-US"/>
        </w:rPr>
        <w:t xml:space="preserve">i </w:t>
      </w:r>
      <w:r w:rsidRPr="006C3B18">
        <w:rPr>
          <w:rFonts w:ascii="Arial" w:eastAsia="Calibri" w:hAnsi="Arial" w:cs="Arial"/>
          <w:sz w:val="18"/>
          <w:szCs w:val="18"/>
          <w:lang w:eastAsia="en-US"/>
        </w:rPr>
        <w:t>no período</w:t>
      </w:r>
      <w:r w:rsidRPr="006C3B18">
        <w:rPr>
          <w:rFonts w:ascii="Arial" w:eastAsia="Calibri" w:hAnsi="Arial" w:cs="Arial"/>
          <w:i/>
          <w:sz w:val="18"/>
          <w:szCs w:val="18"/>
          <w:lang w:eastAsia="en-US"/>
        </w:rPr>
        <w:t xml:space="preserve"> t</w:t>
      </w:r>
      <w:r w:rsidRPr="006C3B18">
        <w:rPr>
          <w:rFonts w:ascii="Arial" w:eastAsia="Calibri" w:hAnsi="Arial" w:cs="Arial"/>
          <w:sz w:val="18"/>
          <w:szCs w:val="18"/>
          <w:lang w:eastAsia="en-US"/>
        </w:rPr>
        <w:t xml:space="preserve">; PROP são as variáveis indicativas do tipo de controle da empresa </w:t>
      </w:r>
      <w:r w:rsidRPr="006C3B18">
        <w:rPr>
          <w:rFonts w:ascii="Arial" w:eastAsia="Calibri" w:hAnsi="Arial" w:cs="Arial"/>
          <w:i/>
          <w:sz w:val="18"/>
          <w:szCs w:val="18"/>
          <w:lang w:eastAsia="en-US"/>
        </w:rPr>
        <w:t xml:space="preserve">i </w:t>
      </w:r>
      <w:r w:rsidRPr="006C3B18">
        <w:rPr>
          <w:rFonts w:ascii="Arial" w:eastAsia="Calibri" w:hAnsi="Arial" w:cs="Arial"/>
          <w:sz w:val="18"/>
          <w:szCs w:val="18"/>
          <w:lang w:eastAsia="en-US"/>
        </w:rPr>
        <w:t xml:space="preserve"> no período </w:t>
      </w:r>
      <w:r w:rsidRPr="006C3B18">
        <w:rPr>
          <w:rFonts w:ascii="Arial" w:eastAsia="Calibri" w:hAnsi="Arial" w:cs="Arial"/>
          <w:i/>
          <w:sz w:val="18"/>
          <w:szCs w:val="18"/>
          <w:lang w:eastAsia="en-US"/>
        </w:rPr>
        <w:t>t</w:t>
      </w:r>
      <w:r w:rsidRPr="006C3B18">
        <w:rPr>
          <w:rFonts w:ascii="Arial" w:eastAsia="Calibri" w:hAnsi="Arial" w:cs="Arial"/>
          <w:sz w:val="18"/>
          <w:szCs w:val="18"/>
          <w:lang w:eastAsia="en-US"/>
        </w:rPr>
        <w:t xml:space="preserve">; TAM é o tamanho da empresa </w:t>
      </w:r>
      <w:r w:rsidRPr="006C3B18">
        <w:rPr>
          <w:rFonts w:ascii="Arial" w:eastAsia="Calibri" w:hAnsi="Arial" w:cs="Arial"/>
          <w:i/>
          <w:sz w:val="18"/>
          <w:szCs w:val="18"/>
          <w:lang w:eastAsia="en-US"/>
        </w:rPr>
        <w:t xml:space="preserve">t </w:t>
      </w:r>
      <w:r w:rsidRPr="006C3B18">
        <w:rPr>
          <w:rFonts w:ascii="Arial" w:eastAsia="Calibri" w:hAnsi="Arial" w:cs="Arial"/>
          <w:sz w:val="18"/>
          <w:szCs w:val="18"/>
          <w:lang w:eastAsia="en-US"/>
        </w:rPr>
        <w:t xml:space="preserve">ao final do período </w:t>
      </w:r>
      <w:r w:rsidRPr="006C3B18">
        <w:rPr>
          <w:rFonts w:ascii="Arial" w:eastAsia="Calibri" w:hAnsi="Arial" w:cs="Arial"/>
          <w:i/>
          <w:sz w:val="18"/>
          <w:szCs w:val="18"/>
          <w:lang w:eastAsia="en-US"/>
        </w:rPr>
        <w:t>t – 1</w:t>
      </w:r>
      <w:r w:rsidRPr="006C3B18">
        <w:rPr>
          <w:rFonts w:ascii="Arial" w:eastAsia="Calibri" w:hAnsi="Arial" w:cs="Arial"/>
          <w:sz w:val="18"/>
          <w:szCs w:val="18"/>
          <w:lang w:eastAsia="en-US"/>
        </w:rPr>
        <w:t>; ROE</w:t>
      </w:r>
      <w:r w:rsidRPr="006C3B18">
        <w:rPr>
          <w:rFonts w:ascii="Arial" w:eastAsia="Calibri" w:hAnsi="Arial" w:cs="Arial"/>
          <w:i/>
          <w:sz w:val="18"/>
          <w:szCs w:val="18"/>
          <w:lang w:eastAsia="en-US"/>
        </w:rPr>
        <w:t xml:space="preserve"> </w:t>
      </w:r>
      <w:r w:rsidRPr="006C3B18">
        <w:rPr>
          <w:rFonts w:ascii="Arial" w:eastAsia="Calibri" w:hAnsi="Arial" w:cs="Arial"/>
          <w:sz w:val="18"/>
          <w:szCs w:val="18"/>
          <w:lang w:eastAsia="en-US"/>
        </w:rPr>
        <w:t xml:space="preserve">é o retorno sobre o patrimônio líquido da empresa </w:t>
      </w:r>
      <w:r w:rsidRPr="006C3B18">
        <w:rPr>
          <w:rFonts w:ascii="Arial" w:eastAsia="Calibri" w:hAnsi="Arial" w:cs="Arial"/>
          <w:i/>
          <w:sz w:val="18"/>
          <w:szCs w:val="18"/>
          <w:lang w:eastAsia="en-US"/>
        </w:rPr>
        <w:t xml:space="preserve">i </w:t>
      </w:r>
      <w:r w:rsidRPr="006C3B18">
        <w:rPr>
          <w:rFonts w:ascii="Arial" w:eastAsia="Calibri" w:hAnsi="Arial" w:cs="Arial"/>
          <w:sz w:val="18"/>
          <w:szCs w:val="18"/>
          <w:lang w:eastAsia="en-US"/>
        </w:rPr>
        <w:t xml:space="preserve">no período </w:t>
      </w:r>
      <w:r w:rsidRPr="006C3B18">
        <w:rPr>
          <w:rFonts w:ascii="Arial" w:eastAsia="Calibri" w:hAnsi="Arial" w:cs="Arial"/>
          <w:i/>
          <w:sz w:val="18"/>
          <w:szCs w:val="18"/>
          <w:lang w:eastAsia="en-US"/>
        </w:rPr>
        <w:t>t – 1</w:t>
      </w:r>
      <w:r w:rsidRPr="006C3B18">
        <w:rPr>
          <w:rFonts w:ascii="Arial" w:eastAsia="Calibri" w:hAnsi="Arial" w:cs="Arial"/>
          <w:sz w:val="18"/>
          <w:szCs w:val="18"/>
          <w:lang w:eastAsia="en-US"/>
        </w:rPr>
        <w:t xml:space="preserve">; SETOR é o setor de atividade da empresa </w:t>
      </w:r>
      <w:r w:rsidRPr="006C3B18">
        <w:rPr>
          <w:rFonts w:ascii="Arial" w:eastAsia="Calibri" w:hAnsi="Arial" w:cs="Arial"/>
          <w:i/>
          <w:sz w:val="18"/>
          <w:szCs w:val="18"/>
          <w:lang w:eastAsia="en-US"/>
        </w:rPr>
        <w:t>i</w:t>
      </w:r>
      <w:r w:rsidRPr="006C3B18">
        <w:rPr>
          <w:rFonts w:ascii="Arial" w:eastAsia="Calibri" w:hAnsi="Arial" w:cs="Arial"/>
          <w:sz w:val="18"/>
          <w:szCs w:val="18"/>
          <w:lang w:eastAsia="en-US"/>
        </w:rPr>
        <w:t>; ANO é o ano da observação; e ε é o termo de erro.</w:t>
      </w:r>
    </w:p>
    <w:p w14:paraId="5D707D84" w14:textId="77777777" w:rsidR="006B566E" w:rsidRPr="006C3B18" w:rsidRDefault="00000000" w:rsidP="006C3B18">
      <w:pPr>
        <w:widowControl/>
        <w:spacing w:before="240" w:line="240" w:lineRule="auto"/>
        <w:ind w:firstLine="709"/>
        <w:rPr>
          <w:rFonts w:ascii="Arial" w:eastAsia="Calibri" w:hAnsi="Arial" w:cs="Arial"/>
          <w:sz w:val="18"/>
          <w:szCs w:val="18"/>
          <w:lang w:eastAsia="en-US"/>
        </w:rPr>
      </w:pPr>
      <m:oMath>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ADM</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PROP</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TAM</m:t>
            </m:r>
          </m:e>
          <m:sub>
            <m:r>
              <m:rPr>
                <m:sty m:val="p"/>
              </m:rPr>
              <w:rPr>
                <w:rFonts w:ascii="Cambria Math" w:eastAsia="Calibri" w:hAnsi="Cambria Math" w:cs="Arial"/>
                <w:sz w:val="18"/>
                <w:szCs w:val="18"/>
                <w:lang w:eastAsia="en-US"/>
              </w:rPr>
              <m:t>i,t-1</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ROE</m:t>
            </m:r>
          </m:e>
          <m:sub>
            <m:r>
              <m:rPr>
                <m:sty m:val="p"/>
              </m:rPr>
              <w:rPr>
                <w:rFonts w:ascii="Cambria Math" w:eastAsia="Calibri" w:hAnsi="Cambria Math" w:cs="Arial"/>
                <w:sz w:val="18"/>
                <w:szCs w:val="18"/>
                <w:lang w:eastAsia="en-US"/>
              </w:rPr>
              <m:t>i,t-1</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SETOR</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ANO</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+ε</m:t>
        </m:r>
      </m:oMath>
      <w:r w:rsidR="006B566E" w:rsidRPr="006C3B18">
        <w:rPr>
          <w:rFonts w:ascii="Arial" w:eastAsia="Calibri" w:hAnsi="Arial" w:cs="Arial"/>
          <w:sz w:val="18"/>
          <w:szCs w:val="18"/>
          <w:lang w:eastAsia="en-US"/>
        </w:rPr>
        <w:tab/>
      </w:r>
      <w:r w:rsidR="006B566E" w:rsidRPr="006C3B18">
        <w:rPr>
          <w:rFonts w:ascii="Arial" w:eastAsia="Calibri" w:hAnsi="Arial" w:cs="Arial"/>
          <w:sz w:val="18"/>
          <w:szCs w:val="18"/>
          <w:lang w:eastAsia="en-US"/>
        </w:rPr>
        <w:tab/>
      </w:r>
      <w:r w:rsidR="006B566E" w:rsidRPr="006C3B18">
        <w:rPr>
          <w:rFonts w:ascii="Arial" w:eastAsia="Calibri" w:hAnsi="Arial" w:cs="Arial"/>
          <w:sz w:val="18"/>
          <w:szCs w:val="18"/>
          <w:lang w:eastAsia="en-US"/>
        </w:rPr>
        <w:tab/>
      </w:r>
      <w:r w:rsidR="006C3B18">
        <w:rPr>
          <w:rFonts w:ascii="Arial" w:eastAsia="Calibri" w:hAnsi="Arial" w:cs="Arial"/>
          <w:sz w:val="18"/>
          <w:szCs w:val="18"/>
          <w:lang w:eastAsia="en-US"/>
        </w:rPr>
        <w:tab/>
      </w:r>
      <w:r w:rsidR="006B566E" w:rsidRPr="006C3B18">
        <w:rPr>
          <w:rFonts w:ascii="Arial" w:eastAsia="Calibri" w:hAnsi="Arial" w:cs="Arial"/>
          <w:sz w:val="18"/>
          <w:szCs w:val="18"/>
          <w:lang w:eastAsia="en-US"/>
        </w:rPr>
        <w:t>(1)</w:t>
      </w:r>
    </w:p>
    <w:p w14:paraId="3F8C21A5" w14:textId="77777777" w:rsidR="006B566E" w:rsidRPr="00ED1A0B" w:rsidRDefault="006B566E" w:rsidP="006C3B18">
      <w:pPr>
        <w:widowControl/>
        <w:spacing w:before="240" w:line="240" w:lineRule="auto"/>
        <w:ind w:firstLine="709"/>
        <w:rPr>
          <w:rFonts w:ascii="Arial" w:eastAsia="Calibri" w:hAnsi="Arial" w:cs="Arial"/>
          <w:spacing w:val="-6"/>
          <w:sz w:val="18"/>
          <w:szCs w:val="18"/>
          <w:lang w:eastAsia="en-US"/>
        </w:rPr>
      </w:pPr>
      <w:r w:rsidRPr="00ED1A0B">
        <w:rPr>
          <w:rFonts w:ascii="Arial" w:eastAsia="Calibri" w:hAnsi="Arial" w:cs="Arial"/>
          <w:spacing w:val="-6"/>
          <w:sz w:val="18"/>
          <w:szCs w:val="18"/>
          <w:lang w:eastAsia="en-US"/>
        </w:rPr>
        <w:t xml:space="preserve">Para analisar a relação entre características da administração e valor da empresa, a amostra foi dividida em cinco subamostras, de acordo com o tipo de controle acionário da empresa. Para cada subamostra foram processadas estimações segundo o modelo da equação (2), em que: VALOR é o valor da empresa </w:t>
      </w:r>
      <w:r w:rsidRPr="00ED1A0B">
        <w:rPr>
          <w:rFonts w:ascii="Arial" w:eastAsia="Calibri" w:hAnsi="Arial" w:cs="Arial"/>
          <w:i/>
          <w:spacing w:val="-6"/>
          <w:sz w:val="18"/>
          <w:szCs w:val="18"/>
          <w:lang w:eastAsia="en-US"/>
        </w:rPr>
        <w:t xml:space="preserve">i </w:t>
      </w:r>
      <w:r w:rsidRPr="00ED1A0B">
        <w:rPr>
          <w:rFonts w:ascii="Arial" w:eastAsia="Calibri" w:hAnsi="Arial" w:cs="Arial"/>
          <w:spacing w:val="-6"/>
          <w:sz w:val="18"/>
          <w:szCs w:val="18"/>
          <w:lang w:eastAsia="en-US"/>
        </w:rPr>
        <w:t xml:space="preserve">no período t; ADM são as características da administração da empresa </w:t>
      </w:r>
      <w:r w:rsidRPr="00ED1A0B">
        <w:rPr>
          <w:rFonts w:ascii="Arial" w:eastAsia="Calibri" w:hAnsi="Arial" w:cs="Arial"/>
          <w:i/>
          <w:spacing w:val="-6"/>
          <w:sz w:val="18"/>
          <w:szCs w:val="18"/>
          <w:lang w:eastAsia="en-US"/>
        </w:rPr>
        <w:t xml:space="preserve">i </w:t>
      </w:r>
      <w:r w:rsidRPr="00ED1A0B">
        <w:rPr>
          <w:rFonts w:ascii="Arial" w:eastAsia="Calibri" w:hAnsi="Arial" w:cs="Arial"/>
          <w:spacing w:val="-6"/>
          <w:sz w:val="18"/>
          <w:szCs w:val="18"/>
          <w:lang w:eastAsia="en-US"/>
        </w:rPr>
        <w:t>no período</w:t>
      </w:r>
      <w:r w:rsidRPr="00ED1A0B">
        <w:rPr>
          <w:rFonts w:ascii="Arial" w:eastAsia="Calibri" w:hAnsi="Arial" w:cs="Arial"/>
          <w:i/>
          <w:spacing w:val="-6"/>
          <w:sz w:val="18"/>
          <w:szCs w:val="18"/>
          <w:lang w:eastAsia="en-US"/>
        </w:rPr>
        <w:t xml:space="preserve"> t</w:t>
      </w:r>
      <w:r w:rsidRPr="00ED1A0B">
        <w:rPr>
          <w:rFonts w:ascii="Arial" w:eastAsia="Calibri" w:hAnsi="Arial" w:cs="Arial"/>
          <w:spacing w:val="-6"/>
          <w:sz w:val="18"/>
          <w:szCs w:val="18"/>
          <w:lang w:eastAsia="en-US"/>
        </w:rPr>
        <w:t xml:space="preserve">; TAM é o tamanho da empresa </w:t>
      </w:r>
      <w:r w:rsidRPr="00ED1A0B">
        <w:rPr>
          <w:rFonts w:ascii="Arial" w:eastAsia="Calibri" w:hAnsi="Arial" w:cs="Arial"/>
          <w:i/>
          <w:spacing w:val="-6"/>
          <w:sz w:val="18"/>
          <w:szCs w:val="18"/>
          <w:lang w:eastAsia="en-US"/>
        </w:rPr>
        <w:t xml:space="preserve">t </w:t>
      </w:r>
      <w:r w:rsidRPr="00ED1A0B">
        <w:rPr>
          <w:rFonts w:ascii="Arial" w:eastAsia="Calibri" w:hAnsi="Arial" w:cs="Arial"/>
          <w:spacing w:val="-6"/>
          <w:sz w:val="18"/>
          <w:szCs w:val="18"/>
          <w:lang w:eastAsia="en-US"/>
        </w:rPr>
        <w:t xml:space="preserve">ao final do período </w:t>
      </w:r>
      <w:r w:rsidRPr="00ED1A0B">
        <w:rPr>
          <w:rFonts w:ascii="Arial" w:eastAsia="Calibri" w:hAnsi="Arial" w:cs="Arial"/>
          <w:i/>
          <w:spacing w:val="-6"/>
          <w:sz w:val="18"/>
          <w:szCs w:val="18"/>
          <w:lang w:eastAsia="en-US"/>
        </w:rPr>
        <w:t>t</w:t>
      </w:r>
      <w:r w:rsidRPr="00ED1A0B">
        <w:rPr>
          <w:rFonts w:ascii="Arial" w:eastAsia="Calibri" w:hAnsi="Arial" w:cs="Arial"/>
          <w:spacing w:val="-6"/>
          <w:sz w:val="18"/>
          <w:szCs w:val="18"/>
          <w:lang w:eastAsia="en-US"/>
        </w:rPr>
        <w:t>; ROE</w:t>
      </w:r>
      <w:r w:rsidRPr="00ED1A0B">
        <w:rPr>
          <w:rFonts w:ascii="Arial" w:eastAsia="Calibri" w:hAnsi="Arial" w:cs="Arial"/>
          <w:i/>
          <w:spacing w:val="-6"/>
          <w:sz w:val="18"/>
          <w:szCs w:val="18"/>
          <w:lang w:eastAsia="en-US"/>
        </w:rPr>
        <w:t xml:space="preserve"> </w:t>
      </w:r>
      <w:r w:rsidRPr="00ED1A0B">
        <w:rPr>
          <w:rFonts w:ascii="Arial" w:eastAsia="Calibri" w:hAnsi="Arial" w:cs="Arial"/>
          <w:spacing w:val="-6"/>
          <w:sz w:val="18"/>
          <w:szCs w:val="18"/>
          <w:lang w:eastAsia="en-US"/>
        </w:rPr>
        <w:t xml:space="preserve">é o retorno sobre o patrimônio líquido da empresa </w:t>
      </w:r>
      <w:r w:rsidRPr="00ED1A0B">
        <w:rPr>
          <w:rFonts w:ascii="Arial" w:eastAsia="Calibri" w:hAnsi="Arial" w:cs="Arial"/>
          <w:i/>
          <w:spacing w:val="-6"/>
          <w:sz w:val="18"/>
          <w:szCs w:val="18"/>
          <w:lang w:eastAsia="en-US"/>
        </w:rPr>
        <w:t xml:space="preserve">i </w:t>
      </w:r>
      <w:r w:rsidRPr="00ED1A0B">
        <w:rPr>
          <w:rFonts w:ascii="Arial" w:eastAsia="Calibri" w:hAnsi="Arial" w:cs="Arial"/>
          <w:spacing w:val="-6"/>
          <w:sz w:val="18"/>
          <w:szCs w:val="18"/>
          <w:lang w:eastAsia="en-US"/>
        </w:rPr>
        <w:t xml:space="preserve">no período </w:t>
      </w:r>
      <w:r w:rsidRPr="00ED1A0B">
        <w:rPr>
          <w:rFonts w:ascii="Arial" w:eastAsia="Calibri" w:hAnsi="Arial" w:cs="Arial"/>
          <w:i/>
          <w:spacing w:val="-6"/>
          <w:sz w:val="18"/>
          <w:szCs w:val="18"/>
          <w:lang w:eastAsia="en-US"/>
        </w:rPr>
        <w:t>t</w:t>
      </w:r>
      <w:r w:rsidRPr="00ED1A0B">
        <w:rPr>
          <w:rFonts w:ascii="Arial" w:eastAsia="Calibri" w:hAnsi="Arial" w:cs="Arial"/>
          <w:spacing w:val="-6"/>
          <w:sz w:val="18"/>
          <w:szCs w:val="18"/>
          <w:lang w:eastAsia="en-US"/>
        </w:rPr>
        <w:t xml:space="preserve">; SETOR é o setor de atividade da empresa </w:t>
      </w:r>
      <w:r w:rsidRPr="00ED1A0B">
        <w:rPr>
          <w:rFonts w:ascii="Arial" w:eastAsia="Calibri" w:hAnsi="Arial" w:cs="Arial"/>
          <w:i/>
          <w:spacing w:val="-6"/>
          <w:sz w:val="18"/>
          <w:szCs w:val="18"/>
          <w:lang w:eastAsia="en-US"/>
        </w:rPr>
        <w:t>i</w:t>
      </w:r>
      <w:r w:rsidRPr="00ED1A0B">
        <w:rPr>
          <w:rFonts w:ascii="Arial" w:eastAsia="Calibri" w:hAnsi="Arial" w:cs="Arial"/>
          <w:spacing w:val="-6"/>
          <w:sz w:val="18"/>
          <w:szCs w:val="18"/>
          <w:lang w:eastAsia="en-US"/>
        </w:rPr>
        <w:t>; ANO é o ano da observação; e ε é o termo de erro.</w:t>
      </w:r>
    </w:p>
    <w:p w14:paraId="7DF397F8" w14:textId="77777777" w:rsidR="006B566E" w:rsidRPr="006C3B18" w:rsidRDefault="00000000" w:rsidP="006C3B18">
      <w:pPr>
        <w:widowControl/>
        <w:spacing w:before="240" w:line="240" w:lineRule="auto"/>
        <w:ind w:firstLine="709"/>
        <w:rPr>
          <w:rFonts w:ascii="Arial" w:eastAsia="Calibri" w:hAnsi="Arial" w:cs="Arial"/>
          <w:sz w:val="18"/>
          <w:szCs w:val="18"/>
          <w:lang w:eastAsia="en-US"/>
        </w:rPr>
      </w:pPr>
      <m:oMath>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VALOR</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ADM</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TAM</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ROE</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SETOR</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m:t>
        </m:r>
        <m:sSub>
          <m:sSubPr>
            <m:ctrlPr>
              <w:rPr>
                <w:rFonts w:ascii="Cambria Math" w:eastAsia="Calibri" w:hAnsi="Cambria Math" w:cs="Arial"/>
                <w:sz w:val="18"/>
                <w:szCs w:val="18"/>
                <w:lang w:eastAsia="en-US"/>
              </w:rPr>
            </m:ctrlPr>
          </m:sSubPr>
          <m:e>
            <m:r>
              <m:rPr>
                <m:sty m:val="p"/>
              </m:rPr>
              <w:rPr>
                <w:rFonts w:ascii="Cambria Math" w:eastAsia="Calibri" w:hAnsi="Cambria Math" w:cs="Arial"/>
                <w:sz w:val="18"/>
                <w:szCs w:val="18"/>
                <w:lang w:eastAsia="en-US"/>
              </w:rPr>
              <m:t>ANO</m:t>
            </m:r>
          </m:e>
          <m:sub>
            <m:r>
              <m:rPr>
                <m:sty m:val="p"/>
              </m:rPr>
              <w:rPr>
                <w:rFonts w:ascii="Cambria Math" w:eastAsia="Calibri" w:hAnsi="Cambria Math" w:cs="Arial"/>
                <w:sz w:val="18"/>
                <w:szCs w:val="18"/>
                <w:lang w:eastAsia="en-US"/>
              </w:rPr>
              <m:t>i,t</m:t>
            </m:r>
          </m:sub>
        </m:sSub>
        <m:r>
          <m:rPr>
            <m:sty m:val="p"/>
          </m:rPr>
          <w:rPr>
            <w:rFonts w:ascii="Cambria Math" w:eastAsia="Calibri" w:hAnsi="Cambria Math" w:cs="Arial"/>
            <w:sz w:val="18"/>
            <w:szCs w:val="18"/>
            <w:lang w:eastAsia="en-US"/>
          </w:rPr>
          <m:t>+ε</m:t>
        </m:r>
      </m:oMath>
      <w:r w:rsidR="006B566E" w:rsidRPr="006C3B18">
        <w:rPr>
          <w:rFonts w:ascii="Arial" w:eastAsia="Calibri" w:hAnsi="Arial" w:cs="Arial"/>
          <w:sz w:val="18"/>
          <w:szCs w:val="18"/>
          <w:lang w:eastAsia="en-US"/>
        </w:rPr>
        <w:tab/>
      </w:r>
      <w:r w:rsidR="006B566E" w:rsidRPr="006C3B18">
        <w:rPr>
          <w:rFonts w:ascii="Arial" w:eastAsia="Calibri" w:hAnsi="Arial" w:cs="Arial"/>
          <w:sz w:val="18"/>
          <w:szCs w:val="18"/>
          <w:lang w:eastAsia="en-US"/>
        </w:rPr>
        <w:tab/>
      </w:r>
      <w:r w:rsidR="006C3B18">
        <w:rPr>
          <w:rFonts w:ascii="Arial" w:eastAsia="Calibri" w:hAnsi="Arial" w:cs="Arial"/>
          <w:sz w:val="18"/>
          <w:szCs w:val="18"/>
          <w:lang w:eastAsia="en-US"/>
        </w:rPr>
        <w:tab/>
      </w:r>
      <w:r w:rsidR="006B566E" w:rsidRPr="006C3B18">
        <w:rPr>
          <w:rFonts w:ascii="Arial" w:eastAsia="Calibri" w:hAnsi="Arial" w:cs="Arial"/>
          <w:sz w:val="18"/>
          <w:szCs w:val="18"/>
          <w:lang w:eastAsia="en-US"/>
        </w:rPr>
        <w:tab/>
        <w:t>(2)</w:t>
      </w:r>
    </w:p>
    <w:p w14:paraId="051A0DEB" w14:textId="77777777" w:rsidR="006B566E" w:rsidRPr="006C3B18" w:rsidRDefault="006B566E" w:rsidP="006C3B18">
      <w:pPr>
        <w:widowControl/>
        <w:spacing w:before="240" w:line="240" w:lineRule="auto"/>
        <w:ind w:firstLine="709"/>
        <w:rPr>
          <w:rFonts w:ascii="Arial" w:eastAsia="Calibri" w:hAnsi="Arial" w:cs="Arial"/>
          <w:sz w:val="18"/>
          <w:szCs w:val="18"/>
          <w:lang w:eastAsia="en-US"/>
        </w:rPr>
      </w:pPr>
      <w:r w:rsidRPr="006C3B18">
        <w:rPr>
          <w:rFonts w:ascii="Arial" w:eastAsia="Calibri" w:hAnsi="Arial" w:cs="Arial"/>
          <w:sz w:val="18"/>
          <w:szCs w:val="18"/>
          <w:lang w:eastAsia="en-US"/>
        </w:rPr>
        <w:t xml:space="preserve">Todas as estimações foram processadas por meio de análise de regressão com utilização da modelagem </w:t>
      </w:r>
      <w:r w:rsidRPr="006C3B18">
        <w:rPr>
          <w:rFonts w:ascii="Arial" w:eastAsia="Calibri" w:hAnsi="Arial" w:cs="Arial"/>
          <w:i/>
          <w:sz w:val="18"/>
          <w:szCs w:val="18"/>
          <w:lang w:eastAsia="en-US"/>
        </w:rPr>
        <w:t>feasible generalized least squares</w:t>
      </w:r>
      <w:r w:rsidRPr="006C3B18">
        <w:rPr>
          <w:rFonts w:ascii="Arial" w:eastAsia="Calibri" w:hAnsi="Arial" w:cs="Arial"/>
          <w:sz w:val="18"/>
          <w:szCs w:val="18"/>
          <w:lang w:eastAsia="en-US"/>
        </w:rPr>
        <w:t xml:space="preserve"> (FGLS), que corrige problemas de heterocedasticidade e autocorrelação de resíduos (Wooldridge, 2002). Optou-se por uma modelagem de efeitos aleatórios porque as variáveis explicativas de interesse (tipo de controle acionário e características da administração) apresentam baixa variação temporal, tornando os estimadores de efeitos fixos imprecisos (Fávero, 2013). Possíveis problemas com </w:t>
      </w:r>
      <w:r w:rsidRPr="006C3B18">
        <w:rPr>
          <w:rFonts w:ascii="Arial" w:eastAsia="Calibri" w:hAnsi="Arial" w:cs="Arial"/>
          <w:i/>
          <w:sz w:val="18"/>
          <w:szCs w:val="18"/>
          <w:lang w:eastAsia="en-US"/>
        </w:rPr>
        <w:t>outliers</w:t>
      </w:r>
      <w:r w:rsidRPr="006C3B18">
        <w:rPr>
          <w:rFonts w:ascii="Arial" w:eastAsia="Calibri" w:hAnsi="Arial" w:cs="Arial"/>
          <w:sz w:val="18"/>
          <w:szCs w:val="18"/>
          <w:lang w:eastAsia="en-US"/>
        </w:rPr>
        <w:t xml:space="preserve"> das variáveis financeiras (TAM, ROE e MB) foram mitigados através da exclusão de observações cujo valor exceda quatro desvios padrões da média (Hair, Black, Babin, Anderson, &amp; Tatham, 2009). Testes de correlação e do fator de inflação da variância (VIF) indicaram ausência de problemas de multicolinearidade ou colinearidade, em todas as estimações, considerando como limites correlações superiores a 0,6 (em módulo) e VIFs superiores a 10 (Hair et al, 2009).</w:t>
      </w:r>
    </w:p>
    <w:p w14:paraId="5394978F" w14:textId="77777777" w:rsidR="006B566E" w:rsidRPr="00BE08EB" w:rsidRDefault="00BE08EB" w:rsidP="00BE08EB">
      <w:pPr>
        <w:keepNext/>
        <w:keepLines/>
        <w:widowControl/>
        <w:spacing w:before="360" w:after="240" w:line="240" w:lineRule="auto"/>
        <w:outlineLvl w:val="0"/>
        <w:rPr>
          <w:rFonts w:ascii="Arial" w:hAnsi="Arial" w:cs="Arial"/>
          <w:b/>
          <w:sz w:val="20"/>
          <w:szCs w:val="20"/>
          <w:lang w:val="x-none" w:eastAsia="x-none"/>
        </w:rPr>
      </w:pPr>
      <w:r w:rsidRPr="00BE08EB">
        <w:rPr>
          <w:rFonts w:ascii="Arial" w:hAnsi="Arial" w:cs="Arial"/>
          <w:b/>
          <w:sz w:val="20"/>
          <w:szCs w:val="20"/>
          <w:lang w:eastAsia="x-none"/>
        </w:rPr>
        <w:t xml:space="preserve">4 </w:t>
      </w:r>
      <w:r w:rsidR="006B566E" w:rsidRPr="00BE08EB">
        <w:rPr>
          <w:rFonts w:ascii="Arial" w:hAnsi="Arial" w:cs="Arial"/>
          <w:b/>
          <w:sz w:val="20"/>
          <w:szCs w:val="20"/>
          <w:lang w:val="x-none" w:eastAsia="x-none"/>
        </w:rPr>
        <w:t xml:space="preserve">RESULTADOS </w:t>
      </w:r>
      <w:r w:rsidR="006B566E" w:rsidRPr="00BE08EB">
        <w:rPr>
          <w:rFonts w:ascii="Arial" w:hAnsi="Arial" w:cs="Arial"/>
          <w:b/>
          <w:sz w:val="20"/>
          <w:szCs w:val="20"/>
          <w:lang w:eastAsia="x-none"/>
        </w:rPr>
        <w:t>E</w:t>
      </w:r>
      <w:r w:rsidR="006B566E" w:rsidRPr="00BE08EB">
        <w:rPr>
          <w:rFonts w:ascii="Arial" w:hAnsi="Arial" w:cs="Arial"/>
          <w:b/>
          <w:sz w:val="20"/>
          <w:szCs w:val="20"/>
          <w:lang w:val="x-none" w:eastAsia="x-none"/>
        </w:rPr>
        <w:t xml:space="preserve"> DISCUSSÃO</w:t>
      </w:r>
    </w:p>
    <w:p w14:paraId="068722B8" w14:textId="77777777" w:rsidR="006B566E" w:rsidRPr="00BE08EB" w:rsidRDefault="00BE08EB" w:rsidP="00BE08EB">
      <w:pPr>
        <w:keepNext/>
        <w:keepLines/>
        <w:widowControl/>
        <w:spacing w:before="360" w:after="240" w:line="240" w:lineRule="auto"/>
        <w:outlineLvl w:val="0"/>
        <w:rPr>
          <w:rFonts w:ascii="Arial" w:hAnsi="Arial" w:cs="Arial"/>
          <w:b/>
          <w:sz w:val="20"/>
          <w:szCs w:val="20"/>
          <w:lang w:eastAsia="x-none"/>
        </w:rPr>
      </w:pPr>
      <w:r w:rsidRPr="00BE08EB">
        <w:rPr>
          <w:rFonts w:ascii="Arial" w:hAnsi="Arial" w:cs="Arial"/>
          <w:b/>
          <w:sz w:val="20"/>
          <w:szCs w:val="20"/>
          <w:lang w:eastAsia="x-none"/>
        </w:rPr>
        <w:t xml:space="preserve">4.1 </w:t>
      </w:r>
      <w:r w:rsidR="006B566E" w:rsidRPr="00BE08EB">
        <w:rPr>
          <w:rFonts w:ascii="Arial" w:hAnsi="Arial" w:cs="Arial"/>
          <w:b/>
          <w:sz w:val="20"/>
          <w:szCs w:val="20"/>
          <w:lang w:eastAsia="x-none"/>
        </w:rPr>
        <w:t>Análise de componentes principais</w:t>
      </w:r>
    </w:p>
    <w:p w14:paraId="094B9130" w14:textId="77777777" w:rsidR="006B566E" w:rsidRPr="00867595" w:rsidRDefault="006B566E" w:rsidP="00771815">
      <w:pPr>
        <w:widowControl/>
        <w:spacing w:before="240" w:line="240" w:lineRule="auto"/>
        <w:ind w:firstLine="709"/>
        <w:rPr>
          <w:rFonts w:ascii="Arial" w:eastAsia="Calibri" w:hAnsi="Arial" w:cs="Arial"/>
          <w:sz w:val="18"/>
          <w:szCs w:val="18"/>
          <w:lang w:eastAsia="x-none"/>
        </w:rPr>
      </w:pPr>
      <w:r w:rsidRPr="00867595">
        <w:rPr>
          <w:rFonts w:ascii="Arial" w:eastAsia="Calibri" w:hAnsi="Arial" w:cs="Arial"/>
          <w:sz w:val="18"/>
          <w:szCs w:val="18"/>
          <w:lang w:eastAsia="x-none"/>
        </w:rPr>
        <w:t xml:space="preserve">A análise de componentes principais foi processada com os dados referentes a 12 práticas do conselho de administração e da diretoria executiva, discretizadas pela rotina CATPCA do software </w:t>
      </w:r>
      <w:r w:rsidRPr="00867595">
        <w:rPr>
          <w:rFonts w:ascii="Arial" w:eastAsia="Calibri" w:hAnsi="Arial" w:cs="Arial"/>
          <w:sz w:val="18"/>
          <w:szCs w:val="18"/>
          <w:lang w:eastAsia="x-none"/>
        </w:rPr>
        <w:lastRenderedPageBreak/>
        <w:t>STATA 12 ®. A amostra mostrou-se adequada para a realização da análise de componentes principais (Hair et al., 2009): medida de adequação da amostra de Kaiser-Meyer-Olkin (KMO) de 0,641; teste de esfericidade de Bartlett significante a 1%; e matriz de anti-imagem com valores de adequação da amostra superiores a 0,5.</w:t>
      </w:r>
    </w:p>
    <w:p w14:paraId="330D9596" w14:textId="77777777" w:rsidR="006B566E" w:rsidRPr="00867595" w:rsidRDefault="006B566E" w:rsidP="00771815">
      <w:pPr>
        <w:widowControl/>
        <w:spacing w:before="240" w:line="240" w:lineRule="auto"/>
        <w:ind w:firstLine="709"/>
        <w:rPr>
          <w:rFonts w:ascii="Arial" w:eastAsia="Calibri" w:hAnsi="Arial" w:cs="Arial"/>
          <w:sz w:val="18"/>
          <w:szCs w:val="18"/>
          <w:lang w:eastAsia="x-none"/>
        </w:rPr>
      </w:pPr>
      <w:r w:rsidRPr="00867595">
        <w:rPr>
          <w:rFonts w:ascii="Arial" w:eastAsia="Calibri" w:hAnsi="Arial" w:cs="Arial"/>
          <w:sz w:val="18"/>
          <w:szCs w:val="18"/>
          <w:lang w:eastAsia="x-none"/>
        </w:rPr>
        <w:t>Para a identificação do número de fatores (componentes principais) a serem extraídos, foi calculado o autovalor de cada fator, que corresponde a quanto o fator explica da variância total dos dados. Pelo critério da raiz latente, foram considerados como significantes apenas os fatores com autovalor superior a uma unidade, ou seja, que explicam a variância de pelo menos uma variável (Hair et al., 2009). Das 12 práticas analisadas foram extraídos cinco fatores, que explicam 63,3% da variância das variáveis originais.</w:t>
      </w:r>
    </w:p>
    <w:p w14:paraId="2B306958" w14:textId="77777777" w:rsidR="006B566E" w:rsidRPr="00771815" w:rsidRDefault="006B566E" w:rsidP="00771815">
      <w:pPr>
        <w:widowControl/>
        <w:spacing w:before="240" w:after="240" w:line="240" w:lineRule="auto"/>
        <w:ind w:firstLine="709"/>
        <w:rPr>
          <w:rFonts w:ascii="Arial" w:eastAsia="Calibri" w:hAnsi="Arial" w:cs="Arial"/>
          <w:sz w:val="20"/>
          <w:szCs w:val="20"/>
          <w:lang w:eastAsia="x-none"/>
        </w:rPr>
      </w:pPr>
      <w:r w:rsidRPr="00867595">
        <w:rPr>
          <w:rFonts w:ascii="Arial" w:eastAsia="Calibri" w:hAnsi="Arial" w:cs="Arial"/>
          <w:sz w:val="18"/>
          <w:szCs w:val="18"/>
          <w:lang w:eastAsia="x-none"/>
        </w:rPr>
        <w:t>Para mensurar e nomear as características da administração resultantes da análise de componentes principais foi analisada a solução rotacionada pelo método varimax, que resulta em fatores ortogonais, mais adequados para posterior inclusão em análises de regressão (Hair et al., 2009). Na Tabela 2 são apresentados os escores médios e as cargas fatoriais das práticas da administração analisadas. A identificação das práticas que compuseram cada fator foi realizada por meio de sua significância</w:t>
      </w:r>
      <w:r w:rsidRPr="00771815">
        <w:rPr>
          <w:rFonts w:ascii="Arial" w:eastAsia="Calibri" w:hAnsi="Arial" w:cs="Arial"/>
          <w:sz w:val="20"/>
          <w:szCs w:val="20"/>
          <w:lang w:eastAsia="x-none"/>
        </w:rPr>
        <w:t xml:space="preserve"> prática, ou seja, cuja carga fatorial é superior a 0,5 ou inferir a -0,5 (Hair et al., 2009).</w:t>
      </w:r>
    </w:p>
    <w:p w14:paraId="7B46243D" w14:textId="77777777" w:rsidR="006B566E" w:rsidRPr="006B566E" w:rsidRDefault="006B566E" w:rsidP="006B566E">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2</w:t>
      </w:r>
    </w:p>
    <w:p w14:paraId="4CE93F1B" w14:textId="77777777" w:rsidR="006B566E" w:rsidRPr="006B566E" w:rsidRDefault="006B566E" w:rsidP="006B566E">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Práticas e fatores das características da administração</w:t>
      </w:r>
      <w:r w:rsidR="00771815">
        <w:rPr>
          <w:rFonts w:ascii="Arial" w:hAnsi="Arial" w:cs="Arial"/>
          <w:bCs/>
          <w:sz w:val="18"/>
          <w:szCs w:val="18"/>
          <w:lang w:eastAsia="en-US"/>
        </w:rPr>
        <w:t>.</w:t>
      </w:r>
    </w:p>
    <w:tbl>
      <w:tblPr>
        <w:tblW w:w="7868" w:type="dxa"/>
        <w:tblInd w:w="70" w:type="dxa"/>
        <w:tblCellMar>
          <w:left w:w="70" w:type="dxa"/>
          <w:right w:w="70" w:type="dxa"/>
        </w:tblCellMar>
        <w:tblLook w:val="04A0" w:firstRow="1" w:lastRow="0" w:firstColumn="1" w:lastColumn="0" w:noHBand="0" w:noVBand="1"/>
      </w:tblPr>
      <w:tblGrid>
        <w:gridCol w:w="2410"/>
        <w:gridCol w:w="798"/>
        <w:gridCol w:w="932"/>
        <w:gridCol w:w="932"/>
        <w:gridCol w:w="932"/>
        <w:gridCol w:w="932"/>
        <w:gridCol w:w="932"/>
      </w:tblGrid>
      <w:tr w:rsidR="006B566E" w:rsidRPr="00771815" w14:paraId="0A60C50A" w14:textId="77777777" w:rsidTr="00867595">
        <w:trPr>
          <w:trHeight w:val="20"/>
        </w:trPr>
        <w:tc>
          <w:tcPr>
            <w:tcW w:w="2410" w:type="dxa"/>
            <w:vMerge w:val="restart"/>
            <w:tcBorders>
              <w:top w:val="single" w:sz="4" w:space="0" w:color="auto"/>
              <w:left w:val="nil"/>
              <w:bottom w:val="single" w:sz="4" w:space="0" w:color="000000"/>
              <w:right w:val="single" w:sz="4" w:space="0" w:color="auto"/>
            </w:tcBorders>
            <w:shd w:val="clear" w:color="auto" w:fill="auto"/>
            <w:noWrap/>
            <w:vAlign w:val="center"/>
            <w:hideMark/>
          </w:tcPr>
          <w:p w14:paraId="2B26CDE5" w14:textId="77777777" w:rsidR="006B566E" w:rsidRPr="00771815" w:rsidRDefault="006B566E" w:rsidP="0077181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Práticas da administração</w:t>
            </w:r>
          </w:p>
        </w:tc>
        <w:tc>
          <w:tcPr>
            <w:tcW w:w="798" w:type="dxa"/>
            <w:vMerge w:val="restart"/>
            <w:tcBorders>
              <w:top w:val="single" w:sz="4" w:space="0" w:color="auto"/>
              <w:left w:val="single" w:sz="4" w:space="0" w:color="auto"/>
              <w:right w:val="single" w:sz="4" w:space="0" w:color="auto"/>
            </w:tcBorders>
            <w:vAlign w:val="center"/>
          </w:tcPr>
          <w:p w14:paraId="0AB590ED"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Escore médio</w:t>
            </w:r>
          </w:p>
        </w:tc>
        <w:tc>
          <w:tcPr>
            <w:tcW w:w="4660" w:type="dxa"/>
            <w:gridSpan w:val="5"/>
            <w:tcBorders>
              <w:top w:val="single" w:sz="4" w:space="0" w:color="auto"/>
              <w:left w:val="single" w:sz="4" w:space="0" w:color="auto"/>
              <w:bottom w:val="single" w:sz="4" w:space="0" w:color="auto"/>
              <w:right w:val="nil"/>
            </w:tcBorders>
            <w:shd w:val="clear" w:color="auto" w:fill="auto"/>
            <w:noWrap/>
            <w:vAlign w:val="center"/>
            <w:hideMark/>
          </w:tcPr>
          <w:p w14:paraId="7285998E"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Cargas fatoriais</w:t>
            </w:r>
          </w:p>
        </w:tc>
      </w:tr>
      <w:tr w:rsidR="006B566E" w:rsidRPr="00771815" w14:paraId="5290DB66" w14:textId="77777777" w:rsidTr="00867595">
        <w:trPr>
          <w:trHeight w:val="20"/>
        </w:trPr>
        <w:tc>
          <w:tcPr>
            <w:tcW w:w="2410" w:type="dxa"/>
            <w:vMerge/>
            <w:tcBorders>
              <w:top w:val="single" w:sz="4" w:space="0" w:color="auto"/>
              <w:left w:val="nil"/>
              <w:bottom w:val="single" w:sz="4" w:space="0" w:color="000000"/>
              <w:right w:val="single" w:sz="4" w:space="0" w:color="auto"/>
            </w:tcBorders>
            <w:vAlign w:val="center"/>
            <w:hideMark/>
          </w:tcPr>
          <w:p w14:paraId="3D73CC34" w14:textId="77777777" w:rsidR="006B566E" w:rsidRPr="00771815" w:rsidRDefault="006B566E" w:rsidP="00771815">
            <w:pPr>
              <w:keepNext/>
              <w:widowControl/>
              <w:spacing w:line="240" w:lineRule="auto"/>
              <w:jc w:val="left"/>
              <w:rPr>
                <w:rFonts w:ascii="Arial" w:hAnsi="Arial" w:cs="Arial"/>
                <w:b/>
                <w:bCs/>
                <w:color w:val="000000"/>
                <w:sz w:val="16"/>
                <w:szCs w:val="16"/>
              </w:rPr>
            </w:pPr>
          </w:p>
        </w:tc>
        <w:tc>
          <w:tcPr>
            <w:tcW w:w="798" w:type="dxa"/>
            <w:vMerge/>
            <w:tcBorders>
              <w:left w:val="single" w:sz="4" w:space="0" w:color="auto"/>
              <w:bottom w:val="single" w:sz="4" w:space="0" w:color="auto"/>
              <w:right w:val="single" w:sz="4" w:space="0" w:color="auto"/>
            </w:tcBorders>
            <w:vAlign w:val="center"/>
          </w:tcPr>
          <w:p w14:paraId="1E6DA9E1" w14:textId="77777777" w:rsidR="006B566E" w:rsidRPr="00771815" w:rsidRDefault="006B566E" w:rsidP="00867595">
            <w:pPr>
              <w:keepNext/>
              <w:widowControl/>
              <w:spacing w:line="240" w:lineRule="auto"/>
              <w:jc w:val="center"/>
              <w:rPr>
                <w:rFonts w:ascii="Arial" w:hAnsi="Arial" w:cs="Arial"/>
                <w:b/>
                <w:bCs/>
                <w:color w:val="000000"/>
                <w:sz w:val="16"/>
                <w:szCs w:val="16"/>
              </w:rPr>
            </w:pPr>
          </w:p>
        </w:tc>
        <w:tc>
          <w:tcPr>
            <w:tcW w:w="932" w:type="dxa"/>
            <w:tcBorders>
              <w:top w:val="single" w:sz="4" w:space="0" w:color="auto"/>
              <w:left w:val="single" w:sz="4" w:space="0" w:color="auto"/>
              <w:bottom w:val="single" w:sz="4" w:space="0" w:color="auto"/>
              <w:right w:val="nil"/>
            </w:tcBorders>
            <w:shd w:val="clear" w:color="auto" w:fill="auto"/>
            <w:noWrap/>
            <w:vAlign w:val="center"/>
            <w:hideMark/>
          </w:tcPr>
          <w:p w14:paraId="701ADF0C"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Fator 1</w:t>
            </w:r>
          </w:p>
        </w:tc>
        <w:tc>
          <w:tcPr>
            <w:tcW w:w="932" w:type="dxa"/>
            <w:tcBorders>
              <w:top w:val="single" w:sz="4" w:space="0" w:color="auto"/>
              <w:left w:val="nil"/>
              <w:bottom w:val="single" w:sz="4" w:space="0" w:color="auto"/>
              <w:right w:val="nil"/>
            </w:tcBorders>
            <w:shd w:val="clear" w:color="auto" w:fill="auto"/>
            <w:noWrap/>
            <w:vAlign w:val="center"/>
            <w:hideMark/>
          </w:tcPr>
          <w:p w14:paraId="51EBC60C"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Fator 2</w:t>
            </w:r>
          </w:p>
        </w:tc>
        <w:tc>
          <w:tcPr>
            <w:tcW w:w="932" w:type="dxa"/>
            <w:tcBorders>
              <w:top w:val="single" w:sz="4" w:space="0" w:color="auto"/>
              <w:left w:val="nil"/>
              <w:bottom w:val="single" w:sz="4" w:space="0" w:color="auto"/>
              <w:right w:val="nil"/>
            </w:tcBorders>
            <w:shd w:val="clear" w:color="auto" w:fill="auto"/>
            <w:noWrap/>
            <w:vAlign w:val="center"/>
            <w:hideMark/>
          </w:tcPr>
          <w:p w14:paraId="5D198968"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Fator 3</w:t>
            </w:r>
          </w:p>
        </w:tc>
        <w:tc>
          <w:tcPr>
            <w:tcW w:w="932" w:type="dxa"/>
            <w:tcBorders>
              <w:top w:val="single" w:sz="4" w:space="0" w:color="auto"/>
              <w:left w:val="nil"/>
              <w:bottom w:val="single" w:sz="4" w:space="0" w:color="auto"/>
              <w:right w:val="nil"/>
            </w:tcBorders>
            <w:shd w:val="clear" w:color="auto" w:fill="auto"/>
            <w:noWrap/>
            <w:vAlign w:val="center"/>
            <w:hideMark/>
          </w:tcPr>
          <w:p w14:paraId="37B94CD3"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Fator 4</w:t>
            </w:r>
          </w:p>
        </w:tc>
        <w:tc>
          <w:tcPr>
            <w:tcW w:w="932" w:type="dxa"/>
            <w:tcBorders>
              <w:top w:val="single" w:sz="4" w:space="0" w:color="auto"/>
              <w:left w:val="nil"/>
              <w:bottom w:val="single" w:sz="4" w:space="0" w:color="auto"/>
              <w:right w:val="nil"/>
            </w:tcBorders>
            <w:shd w:val="clear" w:color="auto" w:fill="auto"/>
            <w:noWrap/>
            <w:vAlign w:val="center"/>
            <w:hideMark/>
          </w:tcPr>
          <w:p w14:paraId="5AC4FFA9"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hAnsi="Arial" w:cs="Arial"/>
                <w:b/>
                <w:bCs/>
                <w:color w:val="000000"/>
                <w:sz w:val="16"/>
                <w:szCs w:val="16"/>
              </w:rPr>
              <w:t>Fator 5</w:t>
            </w:r>
          </w:p>
        </w:tc>
      </w:tr>
      <w:tr w:rsidR="006B566E" w:rsidRPr="00771815" w14:paraId="500483ED"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1A3DAC34"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Remuneração de longo prazo da DE</w:t>
            </w:r>
          </w:p>
        </w:tc>
        <w:tc>
          <w:tcPr>
            <w:tcW w:w="798" w:type="dxa"/>
            <w:tcBorders>
              <w:top w:val="nil"/>
              <w:left w:val="single" w:sz="4" w:space="0" w:color="auto"/>
              <w:bottom w:val="nil"/>
              <w:right w:val="single" w:sz="4" w:space="0" w:color="auto"/>
            </w:tcBorders>
            <w:vAlign w:val="center"/>
          </w:tcPr>
          <w:p w14:paraId="4B03F9B1" w14:textId="77777777" w:rsidR="006B566E" w:rsidRPr="00771815" w:rsidRDefault="006B566E" w:rsidP="00867595">
            <w:pPr>
              <w:keepNext/>
              <w:widowControl/>
              <w:spacing w:line="240" w:lineRule="auto"/>
              <w:jc w:val="center"/>
              <w:rPr>
                <w:rFonts w:ascii="Arial" w:hAnsi="Arial" w:cs="Arial"/>
                <w:bCs/>
                <w:color w:val="000000"/>
                <w:sz w:val="16"/>
                <w:szCs w:val="16"/>
              </w:rPr>
            </w:pPr>
            <w:r w:rsidRPr="00771815">
              <w:rPr>
                <w:rFonts w:ascii="Arial" w:eastAsia="Calibri" w:hAnsi="Arial" w:cs="Arial"/>
                <w:sz w:val="16"/>
                <w:szCs w:val="16"/>
                <w:lang w:eastAsia="en-US"/>
              </w:rPr>
              <w:t>0,590</w:t>
            </w:r>
          </w:p>
        </w:tc>
        <w:tc>
          <w:tcPr>
            <w:tcW w:w="932" w:type="dxa"/>
            <w:tcBorders>
              <w:top w:val="nil"/>
              <w:left w:val="single" w:sz="4" w:space="0" w:color="auto"/>
              <w:bottom w:val="nil"/>
              <w:right w:val="nil"/>
            </w:tcBorders>
            <w:shd w:val="clear" w:color="auto" w:fill="auto"/>
            <w:noWrap/>
            <w:vAlign w:val="center"/>
            <w:hideMark/>
          </w:tcPr>
          <w:p w14:paraId="728EDAFB"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0,83</w:t>
            </w:r>
          </w:p>
        </w:tc>
        <w:tc>
          <w:tcPr>
            <w:tcW w:w="932" w:type="dxa"/>
            <w:tcBorders>
              <w:top w:val="nil"/>
              <w:left w:val="nil"/>
              <w:bottom w:val="nil"/>
              <w:right w:val="nil"/>
            </w:tcBorders>
            <w:shd w:val="clear" w:color="auto" w:fill="auto"/>
            <w:noWrap/>
            <w:vAlign w:val="center"/>
            <w:hideMark/>
          </w:tcPr>
          <w:p w14:paraId="6D73CDA9"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0,10</w:t>
            </w:r>
          </w:p>
        </w:tc>
        <w:tc>
          <w:tcPr>
            <w:tcW w:w="932" w:type="dxa"/>
            <w:tcBorders>
              <w:top w:val="nil"/>
              <w:left w:val="nil"/>
              <w:bottom w:val="nil"/>
              <w:right w:val="nil"/>
            </w:tcBorders>
            <w:shd w:val="clear" w:color="auto" w:fill="auto"/>
            <w:noWrap/>
            <w:vAlign w:val="center"/>
            <w:hideMark/>
          </w:tcPr>
          <w:p w14:paraId="0EA5BD9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0,10</w:t>
            </w:r>
          </w:p>
        </w:tc>
        <w:tc>
          <w:tcPr>
            <w:tcW w:w="932" w:type="dxa"/>
            <w:tcBorders>
              <w:top w:val="nil"/>
              <w:left w:val="nil"/>
              <w:bottom w:val="nil"/>
              <w:right w:val="nil"/>
            </w:tcBorders>
            <w:shd w:val="clear" w:color="auto" w:fill="auto"/>
            <w:noWrap/>
            <w:vAlign w:val="center"/>
            <w:hideMark/>
          </w:tcPr>
          <w:p w14:paraId="0767F533"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0,17</w:t>
            </w:r>
          </w:p>
        </w:tc>
        <w:tc>
          <w:tcPr>
            <w:tcW w:w="932" w:type="dxa"/>
            <w:tcBorders>
              <w:top w:val="nil"/>
              <w:left w:val="nil"/>
              <w:bottom w:val="nil"/>
              <w:right w:val="nil"/>
            </w:tcBorders>
            <w:shd w:val="clear" w:color="auto" w:fill="auto"/>
            <w:noWrap/>
            <w:vAlign w:val="center"/>
            <w:hideMark/>
          </w:tcPr>
          <w:p w14:paraId="3A364BB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0,01</w:t>
            </w:r>
          </w:p>
        </w:tc>
      </w:tr>
      <w:tr w:rsidR="006B566E" w:rsidRPr="00771815" w14:paraId="6155E1E3"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5845F503"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Remuneração variável da DE</w:t>
            </w:r>
          </w:p>
        </w:tc>
        <w:tc>
          <w:tcPr>
            <w:tcW w:w="798" w:type="dxa"/>
            <w:tcBorders>
              <w:top w:val="nil"/>
              <w:left w:val="single" w:sz="4" w:space="0" w:color="auto"/>
              <w:bottom w:val="nil"/>
              <w:right w:val="single" w:sz="4" w:space="0" w:color="auto"/>
            </w:tcBorders>
            <w:vAlign w:val="center"/>
          </w:tcPr>
          <w:p w14:paraId="0ED54CBC" w14:textId="77777777" w:rsidR="006B566E" w:rsidRPr="00771815" w:rsidRDefault="006B566E" w:rsidP="00867595">
            <w:pPr>
              <w:keepNext/>
              <w:widowControl/>
              <w:spacing w:line="240" w:lineRule="auto"/>
              <w:jc w:val="center"/>
              <w:rPr>
                <w:rFonts w:ascii="Arial" w:hAnsi="Arial" w:cs="Arial"/>
                <w:bCs/>
                <w:color w:val="000000"/>
                <w:sz w:val="16"/>
                <w:szCs w:val="16"/>
              </w:rPr>
            </w:pPr>
            <w:r w:rsidRPr="00771815">
              <w:rPr>
                <w:rFonts w:ascii="Arial" w:eastAsia="Calibri" w:hAnsi="Arial" w:cs="Arial"/>
                <w:sz w:val="16"/>
                <w:szCs w:val="16"/>
                <w:lang w:eastAsia="en-US"/>
              </w:rPr>
              <w:t>0,740</w:t>
            </w:r>
          </w:p>
        </w:tc>
        <w:tc>
          <w:tcPr>
            <w:tcW w:w="932" w:type="dxa"/>
            <w:tcBorders>
              <w:top w:val="nil"/>
              <w:left w:val="single" w:sz="4" w:space="0" w:color="auto"/>
              <w:bottom w:val="nil"/>
              <w:right w:val="nil"/>
            </w:tcBorders>
            <w:shd w:val="clear" w:color="auto" w:fill="auto"/>
            <w:noWrap/>
            <w:vAlign w:val="center"/>
            <w:hideMark/>
          </w:tcPr>
          <w:p w14:paraId="27ED7734"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0,67</w:t>
            </w:r>
          </w:p>
        </w:tc>
        <w:tc>
          <w:tcPr>
            <w:tcW w:w="932" w:type="dxa"/>
            <w:tcBorders>
              <w:top w:val="nil"/>
              <w:left w:val="nil"/>
              <w:bottom w:val="nil"/>
              <w:right w:val="nil"/>
            </w:tcBorders>
            <w:shd w:val="clear" w:color="auto" w:fill="auto"/>
            <w:noWrap/>
            <w:vAlign w:val="center"/>
            <w:hideMark/>
          </w:tcPr>
          <w:p w14:paraId="5C02D47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0,08</w:t>
            </w:r>
          </w:p>
        </w:tc>
        <w:tc>
          <w:tcPr>
            <w:tcW w:w="932" w:type="dxa"/>
            <w:tcBorders>
              <w:top w:val="nil"/>
              <w:left w:val="nil"/>
              <w:bottom w:val="nil"/>
              <w:right w:val="nil"/>
            </w:tcBorders>
            <w:shd w:val="clear" w:color="auto" w:fill="auto"/>
            <w:noWrap/>
            <w:vAlign w:val="center"/>
            <w:hideMark/>
          </w:tcPr>
          <w:p w14:paraId="739EAE00"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0,08</w:t>
            </w:r>
          </w:p>
        </w:tc>
        <w:tc>
          <w:tcPr>
            <w:tcW w:w="932" w:type="dxa"/>
            <w:tcBorders>
              <w:top w:val="nil"/>
              <w:left w:val="nil"/>
              <w:bottom w:val="nil"/>
              <w:right w:val="nil"/>
            </w:tcBorders>
            <w:shd w:val="clear" w:color="auto" w:fill="auto"/>
            <w:noWrap/>
            <w:vAlign w:val="center"/>
            <w:hideMark/>
          </w:tcPr>
          <w:p w14:paraId="29863A1A"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nil"/>
              <w:left w:val="nil"/>
              <w:bottom w:val="nil"/>
              <w:right w:val="nil"/>
            </w:tcBorders>
            <w:shd w:val="clear" w:color="auto" w:fill="auto"/>
            <w:noWrap/>
            <w:vAlign w:val="center"/>
            <w:hideMark/>
          </w:tcPr>
          <w:p w14:paraId="1D6FB3EA"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0,12</w:t>
            </w:r>
          </w:p>
        </w:tc>
      </w:tr>
      <w:tr w:rsidR="006B566E" w:rsidRPr="00771815" w14:paraId="3F4CC2F6" w14:textId="77777777" w:rsidTr="00867595">
        <w:trPr>
          <w:trHeight w:val="20"/>
        </w:trPr>
        <w:tc>
          <w:tcPr>
            <w:tcW w:w="2410" w:type="dxa"/>
            <w:tcBorders>
              <w:top w:val="single" w:sz="4" w:space="0" w:color="auto"/>
              <w:left w:val="nil"/>
              <w:bottom w:val="nil"/>
              <w:right w:val="single" w:sz="4" w:space="0" w:color="auto"/>
            </w:tcBorders>
            <w:shd w:val="clear" w:color="auto" w:fill="auto"/>
            <w:noWrap/>
            <w:vAlign w:val="bottom"/>
            <w:hideMark/>
          </w:tcPr>
          <w:p w14:paraId="36C79F0D"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Conselheiros minoritários</w:t>
            </w:r>
          </w:p>
        </w:tc>
        <w:tc>
          <w:tcPr>
            <w:tcW w:w="798" w:type="dxa"/>
            <w:tcBorders>
              <w:top w:val="single" w:sz="4" w:space="0" w:color="auto"/>
              <w:left w:val="single" w:sz="4" w:space="0" w:color="auto"/>
              <w:bottom w:val="nil"/>
              <w:right w:val="single" w:sz="4" w:space="0" w:color="auto"/>
            </w:tcBorders>
            <w:vAlign w:val="center"/>
          </w:tcPr>
          <w:p w14:paraId="232D8A8B"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0,300</w:t>
            </w:r>
          </w:p>
        </w:tc>
        <w:tc>
          <w:tcPr>
            <w:tcW w:w="932" w:type="dxa"/>
            <w:tcBorders>
              <w:top w:val="single" w:sz="4" w:space="0" w:color="auto"/>
              <w:left w:val="single" w:sz="4" w:space="0" w:color="auto"/>
              <w:bottom w:val="nil"/>
              <w:right w:val="nil"/>
            </w:tcBorders>
            <w:shd w:val="clear" w:color="auto" w:fill="auto"/>
            <w:noWrap/>
            <w:vAlign w:val="center"/>
            <w:hideMark/>
          </w:tcPr>
          <w:p w14:paraId="2528C1A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single" w:sz="4" w:space="0" w:color="auto"/>
              <w:left w:val="nil"/>
              <w:bottom w:val="nil"/>
              <w:right w:val="nil"/>
            </w:tcBorders>
            <w:shd w:val="clear" w:color="auto" w:fill="auto"/>
            <w:noWrap/>
            <w:vAlign w:val="center"/>
            <w:hideMark/>
          </w:tcPr>
          <w:p w14:paraId="2799DE44"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0,82</w:t>
            </w:r>
          </w:p>
        </w:tc>
        <w:tc>
          <w:tcPr>
            <w:tcW w:w="932" w:type="dxa"/>
            <w:tcBorders>
              <w:top w:val="single" w:sz="4" w:space="0" w:color="auto"/>
              <w:left w:val="nil"/>
              <w:bottom w:val="nil"/>
              <w:right w:val="nil"/>
            </w:tcBorders>
            <w:shd w:val="clear" w:color="auto" w:fill="auto"/>
            <w:noWrap/>
            <w:vAlign w:val="center"/>
            <w:hideMark/>
          </w:tcPr>
          <w:p w14:paraId="54F08BD4"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w:t>
            </w:r>
          </w:p>
        </w:tc>
        <w:tc>
          <w:tcPr>
            <w:tcW w:w="932" w:type="dxa"/>
            <w:tcBorders>
              <w:top w:val="single" w:sz="4" w:space="0" w:color="auto"/>
              <w:left w:val="nil"/>
              <w:bottom w:val="nil"/>
              <w:right w:val="nil"/>
            </w:tcBorders>
            <w:shd w:val="clear" w:color="auto" w:fill="auto"/>
            <w:noWrap/>
            <w:vAlign w:val="center"/>
            <w:hideMark/>
          </w:tcPr>
          <w:p w14:paraId="2B31158A"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w:t>
            </w:r>
          </w:p>
        </w:tc>
        <w:tc>
          <w:tcPr>
            <w:tcW w:w="932" w:type="dxa"/>
            <w:tcBorders>
              <w:top w:val="single" w:sz="4" w:space="0" w:color="auto"/>
              <w:left w:val="nil"/>
              <w:bottom w:val="nil"/>
              <w:right w:val="nil"/>
            </w:tcBorders>
            <w:shd w:val="clear" w:color="auto" w:fill="auto"/>
            <w:noWrap/>
            <w:vAlign w:val="center"/>
            <w:hideMark/>
          </w:tcPr>
          <w:p w14:paraId="15141A9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-0,26</w:t>
            </w:r>
          </w:p>
        </w:tc>
      </w:tr>
      <w:tr w:rsidR="006B566E" w:rsidRPr="00771815" w14:paraId="73177B71"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7EE0225E"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Relações de subordinação</w:t>
            </w:r>
          </w:p>
        </w:tc>
        <w:tc>
          <w:tcPr>
            <w:tcW w:w="798" w:type="dxa"/>
            <w:tcBorders>
              <w:top w:val="nil"/>
              <w:left w:val="single" w:sz="4" w:space="0" w:color="auto"/>
              <w:bottom w:val="nil"/>
              <w:right w:val="single" w:sz="4" w:space="0" w:color="auto"/>
            </w:tcBorders>
            <w:vAlign w:val="center"/>
          </w:tcPr>
          <w:p w14:paraId="7793698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0,580</w:t>
            </w:r>
          </w:p>
        </w:tc>
        <w:tc>
          <w:tcPr>
            <w:tcW w:w="932" w:type="dxa"/>
            <w:tcBorders>
              <w:top w:val="nil"/>
              <w:left w:val="single" w:sz="4" w:space="0" w:color="auto"/>
              <w:bottom w:val="nil"/>
              <w:right w:val="nil"/>
            </w:tcBorders>
            <w:shd w:val="clear" w:color="auto" w:fill="auto"/>
            <w:noWrap/>
            <w:vAlign w:val="center"/>
            <w:hideMark/>
          </w:tcPr>
          <w:p w14:paraId="6D446A22"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0,43</w:t>
            </w:r>
          </w:p>
        </w:tc>
        <w:tc>
          <w:tcPr>
            <w:tcW w:w="932" w:type="dxa"/>
            <w:tcBorders>
              <w:top w:val="nil"/>
              <w:left w:val="nil"/>
              <w:bottom w:val="nil"/>
              <w:right w:val="nil"/>
            </w:tcBorders>
            <w:shd w:val="clear" w:color="auto" w:fill="auto"/>
            <w:noWrap/>
            <w:vAlign w:val="center"/>
            <w:hideMark/>
          </w:tcPr>
          <w:p w14:paraId="74A8918F"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-0,58</w:t>
            </w:r>
          </w:p>
        </w:tc>
        <w:tc>
          <w:tcPr>
            <w:tcW w:w="932" w:type="dxa"/>
            <w:tcBorders>
              <w:top w:val="nil"/>
              <w:left w:val="nil"/>
              <w:bottom w:val="nil"/>
              <w:right w:val="nil"/>
            </w:tcBorders>
            <w:shd w:val="clear" w:color="auto" w:fill="auto"/>
            <w:noWrap/>
            <w:vAlign w:val="center"/>
            <w:hideMark/>
          </w:tcPr>
          <w:p w14:paraId="01E51ADB"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nil"/>
              <w:left w:val="nil"/>
              <w:bottom w:val="nil"/>
              <w:right w:val="nil"/>
            </w:tcBorders>
            <w:shd w:val="clear" w:color="auto" w:fill="auto"/>
            <w:noWrap/>
            <w:vAlign w:val="center"/>
            <w:hideMark/>
          </w:tcPr>
          <w:p w14:paraId="4D43F96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-0,20</w:t>
            </w:r>
          </w:p>
        </w:tc>
        <w:tc>
          <w:tcPr>
            <w:tcW w:w="932" w:type="dxa"/>
            <w:tcBorders>
              <w:top w:val="nil"/>
              <w:left w:val="nil"/>
              <w:bottom w:val="nil"/>
              <w:right w:val="nil"/>
            </w:tcBorders>
            <w:shd w:val="clear" w:color="auto" w:fill="auto"/>
            <w:noWrap/>
            <w:vAlign w:val="center"/>
            <w:hideMark/>
          </w:tcPr>
          <w:p w14:paraId="43C4E1C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-0,08</w:t>
            </w:r>
          </w:p>
        </w:tc>
      </w:tr>
      <w:tr w:rsidR="006B566E" w:rsidRPr="00771815" w14:paraId="2E55E616"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66E7958F"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Relações familiares</w:t>
            </w:r>
          </w:p>
        </w:tc>
        <w:tc>
          <w:tcPr>
            <w:tcW w:w="798" w:type="dxa"/>
            <w:tcBorders>
              <w:top w:val="nil"/>
              <w:left w:val="single" w:sz="4" w:space="0" w:color="auto"/>
              <w:bottom w:val="nil"/>
              <w:right w:val="single" w:sz="4" w:space="0" w:color="auto"/>
            </w:tcBorders>
            <w:vAlign w:val="center"/>
          </w:tcPr>
          <w:p w14:paraId="5D61845C"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0,500</w:t>
            </w:r>
          </w:p>
        </w:tc>
        <w:tc>
          <w:tcPr>
            <w:tcW w:w="932" w:type="dxa"/>
            <w:tcBorders>
              <w:top w:val="nil"/>
              <w:left w:val="single" w:sz="4" w:space="0" w:color="auto"/>
              <w:bottom w:val="nil"/>
              <w:right w:val="nil"/>
            </w:tcBorders>
            <w:shd w:val="clear" w:color="auto" w:fill="auto"/>
            <w:noWrap/>
            <w:vAlign w:val="center"/>
            <w:hideMark/>
          </w:tcPr>
          <w:p w14:paraId="011FAF78"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-0,15</w:t>
            </w:r>
          </w:p>
        </w:tc>
        <w:tc>
          <w:tcPr>
            <w:tcW w:w="932" w:type="dxa"/>
            <w:tcBorders>
              <w:top w:val="nil"/>
              <w:left w:val="nil"/>
              <w:bottom w:val="nil"/>
              <w:right w:val="nil"/>
            </w:tcBorders>
            <w:shd w:val="clear" w:color="auto" w:fill="auto"/>
            <w:noWrap/>
            <w:vAlign w:val="center"/>
            <w:hideMark/>
          </w:tcPr>
          <w:p w14:paraId="379B2D3E"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-0,56</w:t>
            </w:r>
          </w:p>
        </w:tc>
        <w:tc>
          <w:tcPr>
            <w:tcW w:w="932" w:type="dxa"/>
            <w:tcBorders>
              <w:top w:val="nil"/>
              <w:left w:val="nil"/>
              <w:bottom w:val="nil"/>
              <w:right w:val="nil"/>
            </w:tcBorders>
            <w:shd w:val="clear" w:color="auto" w:fill="auto"/>
            <w:noWrap/>
            <w:vAlign w:val="center"/>
            <w:hideMark/>
          </w:tcPr>
          <w:p w14:paraId="5723622A"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-0,24</w:t>
            </w:r>
          </w:p>
        </w:tc>
        <w:tc>
          <w:tcPr>
            <w:tcW w:w="932" w:type="dxa"/>
            <w:tcBorders>
              <w:top w:val="nil"/>
              <w:left w:val="nil"/>
              <w:bottom w:val="nil"/>
              <w:right w:val="nil"/>
            </w:tcBorders>
            <w:shd w:val="clear" w:color="auto" w:fill="auto"/>
            <w:noWrap/>
            <w:vAlign w:val="center"/>
            <w:hideMark/>
          </w:tcPr>
          <w:p w14:paraId="0379C4DF"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0,23</w:t>
            </w:r>
          </w:p>
        </w:tc>
        <w:tc>
          <w:tcPr>
            <w:tcW w:w="932" w:type="dxa"/>
            <w:tcBorders>
              <w:top w:val="nil"/>
              <w:left w:val="nil"/>
              <w:bottom w:val="nil"/>
              <w:right w:val="nil"/>
            </w:tcBorders>
            <w:shd w:val="clear" w:color="auto" w:fill="auto"/>
            <w:noWrap/>
            <w:vAlign w:val="center"/>
            <w:hideMark/>
          </w:tcPr>
          <w:p w14:paraId="718249CB"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0,04</w:t>
            </w:r>
          </w:p>
        </w:tc>
      </w:tr>
      <w:tr w:rsidR="006B566E" w:rsidRPr="00771815" w14:paraId="1060866A" w14:textId="77777777" w:rsidTr="00867595">
        <w:trPr>
          <w:trHeight w:val="20"/>
        </w:trPr>
        <w:tc>
          <w:tcPr>
            <w:tcW w:w="2410" w:type="dxa"/>
            <w:tcBorders>
              <w:top w:val="nil"/>
              <w:left w:val="nil"/>
              <w:bottom w:val="single" w:sz="4" w:space="0" w:color="auto"/>
              <w:right w:val="single" w:sz="4" w:space="0" w:color="auto"/>
            </w:tcBorders>
            <w:shd w:val="clear" w:color="auto" w:fill="auto"/>
            <w:noWrap/>
            <w:vAlign w:val="bottom"/>
            <w:hideMark/>
          </w:tcPr>
          <w:p w14:paraId="30689EDA"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Conselheiros independentes</w:t>
            </w:r>
          </w:p>
        </w:tc>
        <w:tc>
          <w:tcPr>
            <w:tcW w:w="798" w:type="dxa"/>
            <w:tcBorders>
              <w:top w:val="nil"/>
              <w:left w:val="single" w:sz="4" w:space="0" w:color="auto"/>
              <w:bottom w:val="single" w:sz="4" w:space="0" w:color="auto"/>
              <w:right w:val="single" w:sz="4" w:space="0" w:color="auto"/>
            </w:tcBorders>
            <w:vAlign w:val="center"/>
          </w:tcPr>
          <w:p w14:paraId="38A2E843"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0,303</w:t>
            </w:r>
          </w:p>
        </w:tc>
        <w:tc>
          <w:tcPr>
            <w:tcW w:w="932" w:type="dxa"/>
            <w:tcBorders>
              <w:top w:val="nil"/>
              <w:left w:val="single" w:sz="4" w:space="0" w:color="auto"/>
              <w:bottom w:val="single" w:sz="4" w:space="0" w:color="auto"/>
              <w:right w:val="nil"/>
            </w:tcBorders>
            <w:shd w:val="clear" w:color="auto" w:fill="auto"/>
            <w:noWrap/>
            <w:vAlign w:val="center"/>
            <w:hideMark/>
          </w:tcPr>
          <w:p w14:paraId="5CB52EBA"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0,34</w:t>
            </w:r>
          </w:p>
        </w:tc>
        <w:tc>
          <w:tcPr>
            <w:tcW w:w="932" w:type="dxa"/>
            <w:tcBorders>
              <w:top w:val="nil"/>
              <w:left w:val="nil"/>
              <w:bottom w:val="single" w:sz="4" w:space="0" w:color="auto"/>
              <w:right w:val="nil"/>
            </w:tcBorders>
            <w:shd w:val="clear" w:color="auto" w:fill="auto"/>
            <w:noWrap/>
            <w:vAlign w:val="center"/>
            <w:hideMark/>
          </w:tcPr>
          <w:p w14:paraId="2DCE6DFD"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0,52</w:t>
            </w:r>
          </w:p>
        </w:tc>
        <w:tc>
          <w:tcPr>
            <w:tcW w:w="932" w:type="dxa"/>
            <w:tcBorders>
              <w:top w:val="nil"/>
              <w:left w:val="nil"/>
              <w:bottom w:val="single" w:sz="4" w:space="0" w:color="auto"/>
              <w:right w:val="nil"/>
            </w:tcBorders>
            <w:shd w:val="clear" w:color="auto" w:fill="auto"/>
            <w:noWrap/>
            <w:vAlign w:val="center"/>
            <w:hideMark/>
          </w:tcPr>
          <w:p w14:paraId="635E4346"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0,20</w:t>
            </w:r>
          </w:p>
        </w:tc>
        <w:tc>
          <w:tcPr>
            <w:tcW w:w="932" w:type="dxa"/>
            <w:tcBorders>
              <w:top w:val="nil"/>
              <w:left w:val="nil"/>
              <w:bottom w:val="single" w:sz="4" w:space="0" w:color="auto"/>
              <w:right w:val="nil"/>
            </w:tcBorders>
            <w:shd w:val="clear" w:color="auto" w:fill="auto"/>
            <w:noWrap/>
            <w:vAlign w:val="center"/>
            <w:hideMark/>
          </w:tcPr>
          <w:p w14:paraId="3247AF65"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0,35</w:t>
            </w:r>
          </w:p>
        </w:tc>
        <w:tc>
          <w:tcPr>
            <w:tcW w:w="932" w:type="dxa"/>
            <w:tcBorders>
              <w:top w:val="nil"/>
              <w:left w:val="nil"/>
              <w:bottom w:val="single" w:sz="4" w:space="0" w:color="auto"/>
              <w:right w:val="nil"/>
            </w:tcBorders>
            <w:shd w:val="clear" w:color="auto" w:fill="auto"/>
            <w:noWrap/>
            <w:vAlign w:val="center"/>
            <w:hideMark/>
          </w:tcPr>
          <w:p w14:paraId="03207CC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0,25</w:t>
            </w:r>
          </w:p>
        </w:tc>
      </w:tr>
      <w:tr w:rsidR="006B566E" w:rsidRPr="00771815" w14:paraId="3851EAA6"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62113DFD"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Avaliação do CA</w:t>
            </w:r>
          </w:p>
        </w:tc>
        <w:tc>
          <w:tcPr>
            <w:tcW w:w="798" w:type="dxa"/>
            <w:tcBorders>
              <w:top w:val="nil"/>
              <w:left w:val="single" w:sz="4" w:space="0" w:color="auto"/>
              <w:bottom w:val="nil"/>
              <w:right w:val="single" w:sz="4" w:space="0" w:color="auto"/>
            </w:tcBorders>
            <w:vAlign w:val="center"/>
          </w:tcPr>
          <w:p w14:paraId="4A840D91"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0,440</w:t>
            </w:r>
          </w:p>
        </w:tc>
        <w:tc>
          <w:tcPr>
            <w:tcW w:w="932" w:type="dxa"/>
            <w:tcBorders>
              <w:top w:val="nil"/>
              <w:left w:val="single" w:sz="4" w:space="0" w:color="auto"/>
              <w:bottom w:val="nil"/>
              <w:right w:val="nil"/>
            </w:tcBorders>
            <w:shd w:val="clear" w:color="auto" w:fill="auto"/>
            <w:noWrap/>
            <w:vAlign w:val="center"/>
            <w:hideMark/>
          </w:tcPr>
          <w:p w14:paraId="47095AC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0,05</w:t>
            </w:r>
          </w:p>
        </w:tc>
        <w:tc>
          <w:tcPr>
            <w:tcW w:w="932" w:type="dxa"/>
            <w:tcBorders>
              <w:top w:val="nil"/>
              <w:left w:val="nil"/>
              <w:bottom w:val="nil"/>
              <w:right w:val="nil"/>
            </w:tcBorders>
            <w:shd w:val="clear" w:color="auto" w:fill="auto"/>
            <w:noWrap/>
            <w:vAlign w:val="center"/>
            <w:hideMark/>
          </w:tcPr>
          <w:p w14:paraId="4CEC5BBC"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0,13</w:t>
            </w:r>
          </w:p>
        </w:tc>
        <w:tc>
          <w:tcPr>
            <w:tcW w:w="932" w:type="dxa"/>
            <w:tcBorders>
              <w:top w:val="nil"/>
              <w:left w:val="nil"/>
              <w:bottom w:val="nil"/>
              <w:right w:val="nil"/>
            </w:tcBorders>
            <w:shd w:val="clear" w:color="auto" w:fill="auto"/>
            <w:noWrap/>
            <w:vAlign w:val="center"/>
            <w:hideMark/>
          </w:tcPr>
          <w:p w14:paraId="2288142A"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0,85</w:t>
            </w:r>
          </w:p>
        </w:tc>
        <w:tc>
          <w:tcPr>
            <w:tcW w:w="932" w:type="dxa"/>
            <w:tcBorders>
              <w:top w:val="nil"/>
              <w:left w:val="nil"/>
              <w:bottom w:val="nil"/>
              <w:right w:val="nil"/>
            </w:tcBorders>
            <w:shd w:val="clear" w:color="auto" w:fill="auto"/>
            <w:noWrap/>
            <w:vAlign w:val="center"/>
            <w:hideMark/>
          </w:tcPr>
          <w:p w14:paraId="597A5311"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-0,03</w:t>
            </w:r>
          </w:p>
        </w:tc>
        <w:tc>
          <w:tcPr>
            <w:tcW w:w="932" w:type="dxa"/>
            <w:tcBorders>
              <w:top w:val="nil"/>
              <w:left w:val="nil"/>
              <w:bottom w:val="nil"/>
              <w:right w:val="nil"/>
            </w:tcBorders>
            <w:shd w:val="clear" w:color="auto" w:fill="auto"/>
            <w:noWrap/>
            <w:vAlign w:val="center"/>
            <w:hideMark/>
          </w:tcPr>
          <w:p w14:paraId="44D19BC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0,01</w:t>
            </w:r>
          </w:p>
        </w:tc>
      </w:tr>
      <w:tr w:rsidR="006B566E" w:rsidRPr="00771815" w14:paraId="027AE94A" w14:textId="77777777" w:rsidTr="00867595">
        <w:trPr>
          <w:trHeight w:val="20"/>
        </w:trPr>
        <w:tc>
          <w:tcPr>
            <w:tcW w:w="2410" w:type="dxa"/>
            <w:tcBorders>
              <w:top w:val="nil"/>
              <w:left w:val="nil"/>
              <w:bottom w:val="single" w:sz="4" w:space="0" w:color="auto"/>
              <w:right w:val="single" w:sz="4" w:space="0" w:color="auto"/>
            </w:tcBorders>
            <w:shd w:val="clear" w:color="auto" w:fill="auto"/>
            <w:noWrap/>
            <w:vAlign w:val="bottom"/>
            <w:hideMark/>
          </w:tcPr>
          <w:p w14:paraId="39A3B57A"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Avaliação da DE</w:t>
            </w:r>
          </w:p>
        </w:tc>
        <w:tc>
          <w:tcPr>
            <w:tcW w:w="798" w:type="dxa"/>
            <w:tcBorders>
              <w:top w:val="nil"/>
              <w:left w:val="single" w:sz="4" w:space="0" w:color="auto"/>
              <w:bottom w:val="single" w:sz="4" w:space="0" w:color="auto"/>
              <w:right w:val="single" w:sz="4" w:space="0" w:color="auto"/>
            </w:tcBorders>
            <w:vAlign w:val="center"/>
          </w:tcPr>
          <w:p w14:paraId="5875D49F"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0,590</w:t>
            </w:r>
          </w:p>
        </w:tc>
        <w:tc>
          <w:tcPr>
            <w:tcW w:w="932" w:type="dxa"/>
            <w:tcBorders>
              <w:top w:val="nil"/>
              <w:left w:val="single" w:sz="4" w:space="0" w:color="auto"/>
              <w:bottom w:val="single" w:sz="4" w:space="0" w:color="auto"/>
              <w:right w:val="nil"/>
            </w:tcBorders>
            <w:shd w:val="clear" w:color="auto" w:fill="auto"/>
            <w:noWrap/>
            <w:vAlign w:val="center"/>
            <w:hideMark/>
          </w:tcPr>
          <w:p w14:paraId="3B6AC6A8"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0,12</w:t>
            </w:r>
          </w:p>
        </w:tc>
        <w:tc>
          <w:tcPr>
            <w:tcW w:w="932" w:type="dxa"/>
            <w:tcBorders>
              <w:top w:val="nil"/>
              <w:left w:val="nil"/>
              <w:bottom w:val="single" w:sz="4" w:space="0" w:color="auto"/>
              <w:right w:val="nil"/>
            </w:tcBorders>
            <w:shd w:val="clear" w:color="auto" w:fill="auto"/>
            <w:noWrap/>
            <w:vAlign w:val="center"/>
            <w:hideMark/>
          </w:tcPr>
          <w:p w14:paraId="0A53EE48"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-0,05</w:t>
            </w:r>
          </w:p>
        </w:tc>
        <w:tc>
          <w:tcPr>
            <w:tcW w:w="932" w:type="dxa"/>
            <w:tcBorders>
              <w:top w:val="nil"/>
              <w:left w:val="nil"/>
              <w:bottom w:val="single" w:sz="4" w:space="0" w:color="auto"/>
              <w:right w:val="nil"/>
            </w:tcBorders>
            <w:shd w:val="clear" w:color="auto" w:fill="auto"/>
            <w:noWrap/>
            <w:vAlign w:val="center"/>
            <w:hideMark/>
          </w:tcPr>
          <w:p w14:paraId="50E8EC10"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0,78</w:t>
            </w:r>
          </w:p>
        </w:tc>
        <w:tc>
          <w:tcPr>
            <w:tcW w:w="932" w:type="dxa"/>
            <w:tcBorders>
              <w:top w:val="nil"/>
              <w:left w:val="nil"/>
              <w:bottom w:val="single" w:sz="4" w:space="0" w:color="auto"/>
              <w:right w:val="nil"/>
            </w:tcBorders>
            <w:shd w:val="clear" w:color="auto" w:fill="auto"/>
            <w:noWrap/>
            <w:vAlign w:val="center"/>
            <w:hideMark/>
          </w:tcPr>
          <w:p w14:paraId="12B50C9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0,24</w:t>
            </w:r>
          </w:p>
        </w:tc>
        <w:tc>
          <w:tcPr>
            <w:tcW w:w="932" w:type="dxa"/>
            <w:tcBorders>
              <w:top w:val="nil"/>
              <w:left w:val="nil"/>
              <w:bottom w:val="single" w:sz="4" w:space="0" w:color="auto"/>
              <w:right w:val="nil"/>
            </w:tcBorders>
            <w:shd w:val="clear" w:color="auto" w:fill="auto"/>
            <w:noWrap/>
            <w:vAlign w:val="center"/>
            <w:hideMark/>
          </w:tcPr>
          <w:p w14:paraId="46B0AA1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0,06</w:t>
            </w:r>
          </w:p>
        </w:tc>
      </w:tr>
      <w:tr w:rsidR="006B566E" w:rsidRPr="00771815" w14:paraId="05AD5574"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40546BB0"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Dualidade do CEO</w:t>
            </w:r>
          </w:p>
        </w:tc>
        <w:tc>
          <w:tcPr>
            <w:tcW w:w="798" w:type="dxa"/>
            <w:tcBorders>
              <w:top w:val="nil"/>
              <w:left w:val="single" w:sz="4" w:space="0" w:color="auto"/>
              <w:bottom w:val="nil"/>
              <w:right w:val="single" w:sz="4" w:space="0" w:color="auto"/>
            </w:tcBorders>
            <w:vAlign w:val="center"/>
          </w:tcPr>
          <w:p w14:paraId="01B41470"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0,070</w:t>
            </w:r>
          </w:p>
        </w:tc>
        <w:tc>
          <w:tcPr>
            <w:tcW w:w="932" w:type="dxa"/>
            <w:tcBorders>
              <w:top w:val="nil"/>
              <w:left w:val="single" w:sz="4" w:space="0" w:color="auto"/>
              <w:bottom w:val="nil"/>
              <w:right w:val="nil"/>
            </w:tcBorders>
            <w:shd w:val="clear" w:color="auto" w:fill="auto"/>
            <w:noWrap/>
            <w:vAlign w:val="center"/>
            <w:hideMark/>
          </w:tcPr>
          <w:p w14:paraId="7480BA7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-0,03</w:t>
            </w:r>
          </w:p>
        </w:tc>
        <w:tc>
          <w:tcPr>
            <w:tcW w:w="932" w:type="dxa"/>
            <w:tcBorders>
              <w:top w:val="nil"/>
              <w:left w:val="nil"/>
              <w:bottom w:val="nil"/>
              <w:right w:val="nil"/>
            </w:tcBorders>
            <w:shd w:val="clear" w:color="auto" w:fill="auto"/>
            <w:noWrap/>
            <w:vAlign w:val="center"/>
            <w:hideMark/>
          </w:tcPr>
          <w:p w14:paraId="097E66C4"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w:t>
            </w:r>
          </w:p>
        </w:tc>
        <w:tc>
          <w:tcPr>
            <w:tcW w:w="932" w:type="dxa"/>
            <w:tcBorders>
              <w:top w:val="nil"/>
              <w:left w:val="nil"/>
              <w:bottom w:val="nil"/>
              <w:right w:val="nil"/>
            </w:tcBorders>
            <w:shd w:val="clear" w:color="auto" w:fill="auto"/>
            <w:noWrap/>
            <w:vAlign w:val="center"/>
            <w:hideMark/>
          </w:tcPr>
          <w:p w14:paraId="5139173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nil"/>
              <w:left w:val="nil"/>
              <w:bottom w:val="nil"/>
              <w:right w:val="nil"/>
            </w:tcBorders>
            <w:shd w:val="clear" w:color="auto" w:fill="auto"/>
            <w:noWrap/>
            <w:vAlign w:val="center"/>
            <w:hideMark/>
          </w:tcPr>
          <w:p w14:paraId="163D552E"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-0,80</w:t>
            </w:r>
          </w:p>
        </w:tc>
        <w:tc>
          <w:tcPr>
            <w:tcW w:w="932" w:type="dxa"/>
            <w:tcBorders>
              <w:top w:val="nil"/>
              <w:left w:val="nil"/>
              <w:bottom w:val="nil"/>
              <w:right w:val="nil"/>
            </w:tcBorders>
            <w:shd w:val="clear" w:color="auto" w:fill="auto"/>
            <w:noWrap/>
            <w:vAlign w:val="center"/>
            <w:hideMark/>
          </w:tcPr>
          <w:p w14:paraId="49F98D44"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0,12</w:t>
            </w:r>
          </w:p>
        </w:tc>
      </w:tr>
      <w:tr w:rsidR="006B566E" w:rsidRPr="00771815" w14:paraId="400D1086" w14:textId="77777777" w:rsidTr="00867595">
        <w:trPr>
          <w:trHeight w:val="20"/>
        </w:trPr>
        <w:tc>
          <w:tcPr>
            <w:tcW w:w="2410" w:type="dxa"/>
            <w:tcBorders>
              <w:top w:val="nil"/>
              <w:left w:val="nil"/>
              <w:bottom w:val="single" w:sz="4" w:space="0" w:color="auto"/>
              <w:right w:val="single" w:sz="4" w:space="0" w:color="auto"/>
            </w:tcBorders>
            <w:shd w:val="clear" w:color="auto" w:fill="auto"/>
            <w:noWrap/>
            <w:vAlign w:val="bottom"/>
            <w:hideMark/>
          </w:tcPr>
          <w:p w14:paraId="65B3FE42"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Percentual de conselheiros externos</w:t>
            </w:r>
          </w:p>
        </w:tc>
        <w:tc>
          <w:tcPr>
            <w:tcW w:w="798" w:type="dxa"/>
            <w:tcBorders>
              <w:top w:val="nil"/>
              <w:left w:val="single" w:sz="4" w:space="0" w:color="auto"/>
              <w:bottom w:val="single" w:sz="4" w:space="0" w:color="auto"/>
              <w:right w:val="single" w:sz="4" w:space="0" w:color="auto"/>
            </w:tcBorders>
            <w:vAlign w:val="center"/>
          </w:tcPr>
          <w:p w14:paraId="452E0FE1"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0,880</w:t>
            </w:r>
          </w:p>
        </w:tc>
        <w:tc>
          <w:tcPr>
            <w:tcW w:w="932" w:type="dxa"/>
            <w:tcBorders>
              <w:top w:val="nil"/>
              <w:left w:val="single" w:sz="4" w:space="0" w:color="auto"/>
              <w:bottom w:val="single" w:sz="4" w:space="0" w:color="auto"/>
              <w:right w:val="nil"/>
            </w:tcBorders>
            <w:shd w:val="clear" w:color="auto" w:fill="auto"/>
            <w:noWrap/>
            <w:vAlign w:val="center"/>
            <w:hideMark/>
          </w:tcPr>
          <w:p w14:paraId="132405C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0,19</w:t>
            </w:r>
          </w:p>
        </w:tc>
        <w:tc>
          <w:tcPr>
            <w:tcW w:w="932" w:type="dxa"/>
            <w:tcBorders>
              <w:top w:val="nil"/>
              <w:left w:val="nil"/>
              <w:bottom w:val="single" w:sz="4" w:space="0" w:color="auto"/>
              <w:right w:val="nil"/>
            </w:tcBorders>
            <w:shd w:val="clear" w:color="auto" w:fill="auto"/>
            <w:noWrap/>
            <w:vAlign w:val="center"/>
            <w:hideMark/>
          </w:tcPr>
          <w:p w14:paraId="67FE715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0,17</w:t>
            </w:r>
          </w:p>
        </w:tc>
        <w:tc>
          <w:tcPr>
            <w:tcW w:w="932" w:type="dxa"/>
            <w:tcBorders>
              <w:top w:val="nil"/>
              <w:left w:val="nil"/>
              <w:bottom w:val="single" w:sz="4" w:space="0" w:color="auto"/>
              <w:right w:val="nil"/>
            </w:tcBorders>
            <w:shd w:val="clear" w:color="auto" w:fill="auto"/>
            <w:noWrap/>
            <w:vAlign w:val="center"/>
            <w:hideMark/>
          </w:tcPr>
          <w:p w14:paraId="27500754"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w:t>
            </w:r>
          </w:p>
        </w:tc>
        <w:tc>
          <w:tcPr>
            <w:tcW w:w="932" w:type="dxa"/>
            <w:tcBorders>
              <w:top w:val="nil"/>
              <w:left w:val="nil"/>
              <w:bottom w:val="single" w:sz="4" w:space="0" w:color="auto"/>
              <w:right w:val="nil"/>
            </w:tcBorders>
            <w:shd w:val="clear" w:color="auto" w:fill="auto"/>
            <w:noWrap/>
            <w:vAlign w:val="center"/>
            <w:hideMark/>
          </w:tcPr>
          <w:p w14:paraId="4435F5BC"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0,72</w:t>
            </w:r>
          </w:p>
        </w:tc>
        <w:tc>
          <w:tcPr>
            <w:tcW w:w="932" w:type="dxa"/>
            <w:tcBorders>
              <w:top w:val="nil"/>
              <w:left w:val="nil"/>
              <w:bottom w:val="single" w:sz="4" w:space="0" w:color="auto"/>
              <w:right w:val="nil"/>
            </w:tcBorders>
            <w:shd w:val="clear" w:color="auto" w:fill="auto"/>
            <w:noWrap/>
            <w:vAlign w:val="center"/>
            <w:hideMark/>
          </w:tcPr>
          <w:p w14:paraId="65210D6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-0,02</w:t>
            </w:r>
          </w:p>
        </w:tc>
      </w:tr>
      <w:tr w:rsidR="006B566E" w:rsidRPr="00771815" w14:paraId="635BB0B3" w14:textId="77777777" w:rsidTr="00867595">
        <w:trPr>
          <w:trHeight w:val="20"/>
        </w:trPr>
        <w:tc>
          <w:tcPr>
            <w:tcW w:w="2410" w:type="dxa"/>
            <w:tcBorders>
              <w:top w:val="nil"/>
              <w:left w:val="nil"/>
              <w:bottom w:val="nil"/>
              <w:right w:val="single" w:sz="4" w:space="0" w:color="auto"/>
            </w:tcBorders>
            <w:shd w:val="clear" w:color="auto" w:fill="auto"/>
            <w:noWrap/>
            <w:vAlign w:val="bottom"/>
            <w:hideMark/>
          </w:tcPr>
          <w:p w14:paraId="503FBD2B"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Remuneração variável do CA</w:t>
            </w:r>
          </w:p>
        </w:tc>
        <w:tc>
          <w:tcPr>
            <w:tcW w:w="798" w:type="dxa"/>
            <w:tcBorders>
              <w:top w:val="nil"/>
              <w:left w:val="single" w:sz="4" w:space="0" w:color="auto"/>
              <w:bottom w:val="nil"/>
              <w:right w:val="single" w:sz="4" w:space="0" w:color="auto"/>
            </w:tcBorders>
            <w:vAlign w:val="center"/>
          </w:tcPr>
          <w:p w14:paraId="38490851"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0,170</w:t>
            </w:r>
          </w:p>
        </w:tc>
        <w:tc>
          <w:tcPr>
            <w:tcW w:w="932" w:type="dxa"/>
            <w:tcBorders>
              <w:top w:val="nil"/>
              <w:left w:val="single" w:sz="4" w:space="0" w:color="auto"/>
              <w:bottom w:val="nil"/>
              <w:right w:val="nil"/>
            </w:tcBorders>
            <w:shd w:val="clear" w:color="auto" w:fill="auto"/>
            <w:noWrap/>
            <w:vAlign w:val="center"/>
            <w:hideMark/>
          </w:tcPr>
          <w:p w14:paraId="64D0E244"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0,04</w:t>
            </w:r>
          </w:p>
        </w:tc>
        <w:tc>
          <w:tcPr>
            <w:tcW w:w="932" w:type="dxa"/>
            <w:tcBorders>
              <w:top w:val="nil"/>
              <w:left w:val="nil"/>
              <w:bottom w:val="nil"/>
              <w:right w:val="nil"/>
            </w:tcBorders>
            <w:shd w:val="clear" w:color="auto" w:fill="auto"/>
            <w:noWrap/>
            <w:vAlign w:val="center"/>
            <w:hideMark/>
          </w:tcPr>
          <w:p w14:paraId="3C85388C"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nil"/>
              <w:left w:val="nil"/>
              <w:bottom w:val="nil"/>
              <w:right w:val="nil"/>
            </w:tcBorders>
            <w:shd w:val="clear" w:color="auto" w:fill="auto"/>
            <w:noWrap/>
            <w:vAlign w:val="center"/>
            <w:hideMark/>
          </w:tcPr>
          <w:p w14:paraId="5DD737A3"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0,09</w:t>
            </w:r>
          </w:p>
        </w:tc>
        <w:tc>
          <w:tcPr>
            <w:tcW w:w="932" w:type="dxa"/>
            <w:tcBorders>
              <w:top w:val="nil"/>
              <w:left w:val="nil"/>
              <w:bottom w:val="nil"/>
              <w:right w:val="nil"/>
            </w:tcBorders>
            <w:shd w:val="clear" w:color="auto" w:fill="auto"/>
            <w:noWrap/>
            <w:vAlign w:val="center"/>
            <w:hideMark/>
          </w:tcPr>
          <w:p w14:paraId="247E4DD2"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0,00</w:t>
            </w:r>
          </w:p>
        </w:tc>
        <w:tc>
          <w:tcPr>
            <w:tcW w:w="932" w:type="dxa"/>
            <w:tcBorders>
              <w:top w:val="nil"/>
              <w:left w:val="nil"/>
              <w:bottom w:val="nil"/>
              <w:right w:val="nil"/>
            </w:tcBorders>
            <w:shd w:val="clear" w:color="auto" w:fill="auto"/>
            <w:noWrap/>
            <w:vAlign w:val="center"/>
            <w:hideMark/>
          </w:tcPr>
          <w:p w14:paraId="1C7C3075"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0,86</w:t>
            </w:r>
          </w:p>
        </w:tc>
      </w:tr>
      <w:tr w:rsidR="006B566E" w:rsidRPr="00771815" w14:paraId="71ED428B" w14:textId="77777777" w:rsidTr="00867595">
        <w:trPr>
          <w:trHeight w:val="20"/>
        </w:trPr>
        <w:tc>
          <w:tcPr>
            <w:tcW w:w="2410" w:type="dxa"/>
            <w:tcBorders>
              <w:top w:val="nil"/>
              <w:left w:val="nil"/>
              <w:bottom w:val="single" w:sz="4" w:space="0" w:color="auto"/>
              <w:right w:val="single" w:sz="4" w:space="0" w:color="auto"/>
            </w:tcBorders>
            <w:shd w:val="clear" w:color="auto" w:fill="auto"/>
            <w:noWrap/>
            <w:vAlign w:val="bottom"/>
            <w:hideMark/>
          </w:tcPr>
          <w:p w14:paraId="4F96A5B5" w14:textId="77777777" w:rsidR="006B566E" w:rsidRPr="00771815" w:rsidRDefault="006B566E" w:rsidP="00771815">
            <w:pPr>
              <w:keepNext/>
              <w:widowControl/>
              <w:spacing w:line="240" w:lineRule="auto"/>
              <w:jc w:val="left"/>
              <w:rPr>
                <w:rFonts w:ascii="Arial" w:hAnsi="Arial" w:cs="Arial"/>
                <w:color w:val="000000"/>
                <w:sz w:val="16"/>
                <w:szCs w:val="16"/>
              </w:rPr>
            </w:pPr>
            <w:r w:rsidRPr="00771815">
              <w:rPr>
                <w:rFonts w:ascii="Arial" w:hAnsi="Arial" w:cs="Arial"/>
                <w:color w:val="000000"/>
                <w:sz w:val="16"/>
                <w:szCs w:val="16"/>
              </w:rPr>
              <w:t>Remuneração de longo prazo do CA</w:t>
            </w:r>
          </w:p>
        </w:tc>
        <w:tc>
          <w:tcPr>
            <w:tcW w:w="798" w:type="dxa"/>
            <w:tcBorders>
              <w:top w:val="nil"/>
              <w:left w:val="single" w:sz="4" w:space="0" w:color="auto"/>
              <w:bottom w:val="single" w:sz="4" w:space="0" w:color="auto"/>
              <w:right w:val="single" w:sz="4" w:space="0" w:color="auto"/>
            </w:tcBorders>
            <w:vAlign w:val="center"/>
          </w:tcPr>
          <w:p w14:paraId="615FF30F"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0,160</w:t>
            </w:r>
          </w:p>
        </w:tc>
        <w:tc>
          <w:tcPr>
            <w:tcW w:w="932" w:type="dxa"/>
            <w:tcBorders>
              <w:top w:val="nil"/>
              <w:left w:val="single" w:sz="4" w:space="0" w:color="auto"/>
              <w:bottom w:val="single" w:sz="4" w:space="0" w:color="auto"/>
              <w:right w:val="nil"/>
            </w:tcBorders>
            <w:shd w:val="clear" w:color="auto" w:fill="auto"/>
            <w:noWrap/>
            <w:vAlign w:val="center"/>
            <w:hideMark/>
          </w:tcPr>
          <w:p w14:paraId="38FC6C47"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0,47</w:t>
            </w:r>
          </w:p>
        </w:tc>
        <w:tc>
          <w:tcPr>
            <w:tcW w:w="932" w:type="dxa"/>
            <w:tcBorders>
              <w:top w:val="nil"/>
              <w:left w:val="nil"/>
              <w:bottom w:val="single" w:sz="4" w:space="0" w:color="auto"/>
              <w:right w:val="nil"/>
            </w:tcBorders>
            <w:shd w:val="clear" w:color="auto" w:fill="auto"/>
            <w:noWrap/>
            <w:vAlign w:val="center"/>
            <w:hideMark/>
          </w:tcPr>
          <w:p w14:paraId="46D2B3DD"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0,07</w:t>
            </w:r>
          </w:p>
        </w:tc>
        <w:tc>
          <w:tcPr>
            <w:tcW w:w="932" w:type="dxa"/>
            <w:tcBorders>
              <w:top w:val="nil"/>
              <w:left w:val="nil"/>
              <w:bottom w:val="single" w:sz="4" w:space="0" w:color="auto"/>
              <w:right w:val="nil"/>
            </w:tcBorders>
            <w:shd w:val="clear" w:color="auto" w:fill="auto"/>
            <w:noWrap/>
            <w:vAlign w:val="center"/>
            <w:hideMark/>
          </w:tcPr>
          <w:p w14:paraId="1C4AF77C"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0,01</w:t>
            </w:r>
          </w:p>
        </w:tc>
        <w:tc>
          <w:tcPr>
            <w:tcW w:w="932" w:type="dxa"/>
            <w:tcBorders>
              <w:top w:val="nil"/>
              <w:left w:val="nil"/>
              <w:bottom w:val="single" w:sz="4" w:space="0" w:color="auto"/>
              <w:right w:val="nil"/>
            </w:tcBorders>
            <w:shd w:val="clear" w:color="auto" w:fill="auto"/>
            <w:noWrap/>
            <w:vAlign w:val="center"/>
            <w:hideMark/>
          </w:tcPr>
          <w:p w14:paraId="03050D7E" w14:textId="77777777" w:rsidR="006B566E" w:rsidRPr="00771815" w:rsidRDefault="006B566E" w:rsidP="00867595">
            <w:pPr>
              <w:keepNext/>
              <w:widowControl/>
              <w:spacing w:line="240" w:lineRule="auto"/>
              <w:jc w:val="center"/>
              <w:rPr>
                <w:rFonts w:ascii="Arial" w:hAnsi="Arial" w:cs="Arial"/>
                <w:color w:val="000000"/>
                <w:sz w:val="16"/>
                <w:szCs w:val="16"/>
              </w:rPr>
            </w:pPr>
            <w:r w:rsidRPr="00771815">
              <w:rPr>
                <w:rFonts w:ascii="Arial" w:eastAsia="Calibri" w:hAnsi="Arial" w:cs="Arial"/>
                <w:sz w:val="16"/>
                <w:szCs w:val="16"/>
                <w:lang w:eastAsia="en-US"/>
              </w:rPr>
              <w:t>0,02</w:t>
            </w:r>
          </w:p>
        </w:tc>
        <w:tc>
          <w:tcPr>
            <w:tcW w:w="932" w:type="dxa"/>
            <w:tcBorders>
              <w:top w:val="nil"/>
              <w:left w:val="nil"/>
              <w:bottom w:val="single" w:sz="4" w:space="0" w:color="auto"/>
              <w:right w:val="nil"/>
            </w:tcBorders>
            <w:shd w:val="clear" w:color="auto" w:fill="auto"/>
            <w:noWrap/>
            <w:vAlign w:val="center"/>
            <w:hideMark/>
          </w:tcPr>
          <w:p w14:paraId="73E34C26" w14:textId="77777777" w:rsidR="006B566E" w:rsidRPr="00771815" w:rsidRDefault="006B566E" w:rsidP="00867595">
            <w:pPr>
              <w:keepNext/>
              <w:widowControl/>
              <w:spacing w:line="240" w:lineRule="auto"/>
              <w:jc w:val="center"/>
              <w:rPr>
                <w:rFonts w:ascii="Arial" w:hAnsi="Arial" w:cs="Arial"/>
                <w:b/>
                <w:bCs/>
                <w:color w:val="000000"/>
                <w:sz w:val="16"/>
                <w:szCs w:val="16"/>
              </w:rPr>
            </w:pPr>
            <w:r w:rsidRPr="00771815">
              <w:rPr>
                <w:rFonts w:ascii="Arial" w:eastAsia="Calibri" w:hAnsi="Arial" w:cs="Arial"/>
                <w:b/>
                <w:bCs/>
                <w:sz w:val="16"/>
                <w:szCs w:val="16"/>
                <w:lang w:eastAsia="en-US"/>
              </w:rPr>
              <w:t>0,60</w:t>
            </w:r>
          </w:p>
        </w:tc>
      </w:tr>
    </w:tbl>
    <w:p w14:paraId="361EBF44" w14:textId="77777777" w:rsidR="006B566E" w:rsidRPr="006B566E" w:rsidRDefault="006B566E" w:rsidP="00867595">
      <w:pPr>
        <w:keepNext/>
        <w:widowControl/>
        <w:spacing w:before="40" w:after="240" w:line="240" w:lineRule="auto"/>
        <w:rPr>
          <w:rFonts w:ascii="Arial" w:eastAsia="Calibri" w:hAnsi="Arial" w:cs="Arial"/>
          <w:sz w:val="16"/>
          <w:szCs w:val="16"/>
          <w:lang w:eastAsia="en-US"/>
        </w:rPr>
      </w:pPr>
      <w:r w:rsidRPr="006B566E">
        <w:rPr>
          <w:rFonts w:ascii="Arial" w:eastAsia="Calibri" w:hAnsi="Arial" w:cs="Arial"/>
          <w:b/>
          <w:sz w:val="16"/>
          <w:szCs w:val="16"/>
          <w:lang w:eastAsia="en-US"/>
        </w:rPr>
        <w:t xml:space="preserve">CA: </w:t>
      </w:r>
      <w:r w:rsidRPr="006B566E">
        <w:rPr>
          <w:rFonts w:ascii="Arial" w:eastAsia="Calibri" w:hAnsi="Arial" w:cs="Arial"/>
          <w:sz w:val="16"/>
          <w:szCs w:val="16"/>
          <w:lang w:eastAsia="en-US"/>
        </w:rPr>
        <w:t xml:space="preserve">conselho de administração. </w:t>
      </w:r>
      <w:r w:rsidRPr="006B566E">
        <w:rPr>
          <w:rFonts w:ascii="Arial" w:eastAsia="Calibri" w:hAnsi="Arial" w:cs="Arial"/>
          <w:b/>
          <w:sz w:val="16"/>
          <w:szCs w:val="16"/>
          <w:lang w:eastAsia="en-US"/>
        </w:rPr>
        <w:t xml:space="preserve">DE: </w:t>
      </w:r>
      <w:r w:rsidRPr="006B566E">
        <w:rPr>
          <w:rFonts w:ascii="Arial" w:eastAsia="Calibri" w:hAnsi="Arial" w:cs="Arial"/>
          <w:sz w:val="16"/>
          <w:szCs w:val="16"/>
          <w:lang w:eastAsia="en-US"/>
        </w:rPr>
        <w:t>diretoria executiva.</w:t>
      </w:r>
    </w:p>
    <w:p w14:paraId="549C556A" w14:textId="77777777" w:rsidR="006B566E" w:rsidRPr="00ED1A0B" w:rsidRDefault="006B566E" w:rsidP="00867595">
      <w:pPr>
        <w:widowControl/>
        <w:spacing w:before="240" w:line="240" w:lineRule="auto"/>
        <w:ind w:firstLine="709"/>
        <w:rPr>
          <w:rFonts w:ascii="Arial" w:eastAsia="Calibri" w:hAnsi="Arial" w:cs="Arial"/>
          <w:spacing w:val="4"/>
          <w:sz w:val="18"/>
          <w:szCs w:val="18"/>
          <w:lang w:eastAsia="x-none"/>
        </w:rPr>
      </w:pPr>
      <w:r w:rsidRPr="00ED1A0B">
        <w:rPr>
          <w:rFonts w:ascii="Arial" w:eastAsia="Calibri" w:hAnsi="Arial" w:cs="Arial"/>
          <w:spacing w:val="4"/>
          <w:sz w:val="18"/>
          <w:szCs w:val="18"/>
          <w:lang w:eastAsia="x-none"/>
        </w:rPr>
        <w:t>O primeiro fator, nomeado de remuneração da diretoria executiva, compreende duas práticas relativas ao tipo de remuneração concedida aos membros da diretoria executiva: de longo prazo e/ou variável. O segundo fator, nomeado de independência dos administradores, agrega quatro práticas relativas à composição do conselho de administração e da diretoria executiva: percentual de conselheiros minoritários e independentes e relações familiares e de subordinação entre administradores. Ressalte-se que o sinal negativo das cargas fatoriais das relações de subordinação e familiares significa que este fator está relacionado à ausência destas relações, indicando maior independência dos órgãos da administração. O terceiro fator foi nomeado de avaliação dos administradores, e inclui a presença de mecanismos formais de avaliação de membros do conselho de administração e da diretoria executiva. O quarto fator, denominado de separação entre órgão da administração, é composto por duas práticas relativas à separação entre conselho de administração e diretoria executiva: ausência de dualidade do CEO (pelo sinal negativo da carga fatorial) e percentual e conselheiros externos. O quinto e último fator corresponde à remuneração do conselho de administração, e aborda o tipo de remuneração concedida aos membros deste órgão: variável e /ou de longo prazo. Observa-se que, dos cinco fatores resultantes, dois estão relacionados à composição (independência dos administradores e separação entre conselho de administração e diretoria executiva) e três estão relacionados a mecanismos de incentivo (remuneração da diretoria executiva, avaliação dos administradores e remuneração do conselho de administração).</w:t>
      </w:r>
    </w:p>
    <w:p w14:paraId="0C85A8D0" w14:textId="77777777" w:rsidR="006B566E" w:rsidRPr="00867595" w:rsidRDefault="00867595" w:rsidP="00867595">
      <w:pPr>
        <w:keepNext/>
        <w:keepLines/>
        <w:widowControl/>
        <w:spacing w:before="360" w:after="240" w:line="240" w:lineRule="auto"/>
        <w:outlineLvl w:val="0"/>
        <w:rPr>
          <w:rFonts w:ascii="Arial" w:hAnsi="Arial" w:cs="Arial"/>
          <w:b/>
          <w:sz w:val="20"/>
          <w:szCs w:val="20"/>
          <w:lang w:eastAsia="x-none"/>
        </w:rPr>
      </w:pPr>
      <w:r w:rsidRPr="00867595">
        <w:rPr>
          <w:rFonts w:ascii="Arial" w:hAnsi="Arial" w:cs="Arial"/>
          <w:b/>
          <w:sz w:val="20"/>
          <w:szCs w:val="20"/>
          <w:lang w:eastAsia="x-none"/>
        </w:rPr>
        <w:lastRenderedPageBreak/>
        <w:t xml:space="preserve">4.2 </w:t>
      </w:r>
      <w:r w:rsidR="006B566E" w:rsidRPr="00867595">
        <w:rPr>
          <w:rFonts w:ascii="Arial" w:hAnsi="Arial" w:cs="Arial"/>
          <w:b/>
          <w:sz w:val="20"/>
          <w:szCs w:val="20"/>
          <w:lang w:eastAsia="x-none"/>
        </w:rPr>
        <w:t>Estatística descritiva</w:t>
      </w:r>
    </w:p>
    <w:p w14:paraId="7EA9FD37" w14:textId="77777777" w:rsidR="006B566E" w:rsidRPr="00867595" w:rsidRDefault="006B566E" w:rsidP="00867595">
      <w:pPr>
        <w:widowControl/>
        <w:spacing w:before="240" w:after="240" w:line="240" w:lineRule="auto"/>
        <w:ind w:firstLine="709"/>
        <w:rPr>
          <w:rFonts w:ascii="Arial" w:eastAsia="Calibri" w:hAnsi="Arial" w:cs="Arial"/>
          <w:sz w:val="18"/>
          <w:szCs w:val="18"/>
          <w:lang w:eastAsia="x-none"/>
        </w:rPr>
      </w:pPr>
      <w:r w:rsidRPr="00867595">
        <w:rPr>
          <w:rFonts w:ascii="Arial" w:eastAsia="Calibri" w:hAnsi="Arial" w:cs="Arial"/>
          <w:sz w:val="18"/>
          <w:szCs w:val="18"/>
          <w:lang w:eastAsia="x-none"/>
        </w:rPr>
        <w:t xml:space="preserve">Na Tabela 3 é mostrada a estatística descritiva das características da administração, mensuradas de duas formas: a partir dos escores fatoriais padronizados em escala de 0 a 1, resultantes da análise de componentes principais; e por escalas múltiplas, calculadas a partir da média aritmética simples das práticas que compõe cada característica da administração. A separação entre órgãos de administração é característica mais presente e mais homogênea nas empresas analisadas, que pode ser observado pela maior média e pelo menor desvio-padrão. Por outro lado, a utilização de remuneração variável e de longo prazo como forma de incentivo financeiro para o conselho de administração é a característica menos adotada e com maior heterogeneidade da amostra. Para testar as hipóteses de pesquisa foi considerada a mensuração das características da administração por meio dos escores fatoriais. As escalas múltiplas foram consideradas apenas nas estimações utilizadas no teste de robustez apresentado na Tabela 10. </w:t>
      </w:r>
    </w:p>
    <w:p w14:paraId="5A641606" w14:textId="77777777" w:rsidR="006B566E" w:rsidRPr="006B566E" w:rsidRDefault="006B566E" w:rsidP="00867595">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3</w:t>
      </w:r>
    </w:p>
    <w:p w14:paraId="4CADC583" w14:textId="77777777" w:rsidR="006B566E" w:rsidRPr="006B566E" w:rsidRDefault="006B566E" w:rsidP="00867595">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Estatística descritiva das características da administração</w:t>
      </w:r>
      <w:r w:rsidR="00867595">
        <w:rPr>
          <w:rFonts w:ascii="Arial" w:hAnsi="Arial" w:cs="Arial"/>
          <w:bCs/>
          <w:sz w:val="18"/>
          <w:szCs w:val="18"/>
          <w:lang w:eastAsia="en-US"/>
        </w:rPr>
        <w:t>.</w:t>
      </w:r>
    </w:p>
    <w:tbl>
      <w:tblPr>
        <w:tblW w:w="7938" w:type="dxa"/>
        <w:jc w:val="center"/>
        <w:tblCellMar>
          <w:left w:w="70" w:type="dxa"/>
          <w:right w:w="70" w:type="dxa"/>
        </w:tblCellMar>
        <w:tblLook w:val="04A0" w:firstRow="1" w:lastRow="0" w:firstColumn="1" w:lastColumn="0" w:noHBand="0" w:noVBand="1"/>
      </w:tblPr>
      <w:tblGrid>
        <w:gridCol w:w="2614"/>
        <w:gridCol w:w="1205"/>
        <w:gridCol w:w="1457"/>
        <w:gridCol w:w="1205"/>
        <w:gridCol w:w="1457"/>
      </w:tblGrid>
      <w:tr w:rsidR="006B566E" w:rsidRPr="00867595" w14:paraId="739494AD" w14:textId="77777777" w:rsidTr="00867595">
        <w:trPr>
          <w:trHeight w:val="20"/>
          <w:jc w:val="center"/>
        </w:trPr>
        <w:tc>
          <w:tcPr>
            <w:tcW w:w="0" w:type="dxa"/>
            <w:vMerge w:val="restart"/>
            <w:tcBorders>
              <w:top w:val="single" w:sz="4" w:space="0" w:color="auto"/>
              <w:left w:val="nil"/>
              <w:bottom w:val="single" w:sz="4" w:space="0" w:color="000000"/>
              <w:right w:val="nil"/>
            </w:tcBorders>
            <w:shd w:val="clear" w:color="auto" w:fill="auto"/>
            <w:noWrap/>
            <w:vAlign w:val="center"/>
            <w:hideMark/>
          </w:tcPr>
          <w:p w14:paraId="417F0A8E"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Características da administração</w:t>
            </w:r>
          </w:p>
        </w:tc>
        <w:tc>
          <w:tcPr>
            <w:tcW w:w="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1C4CCDE"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Escores fatoriais</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35F42DFA"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Escalas múltiplas</w:t>
            </w:r>
          </w:p>
        </w:tc>
      </w:tr>
      <w:tr w:rsidR="006B566E" w:rsidRPr="00867595" w14:paraId="7E8D6D3C" w14:textId="77777777" w:rsidTr="00867595">
        <w:trPr>
          <w:trHeight w:val="20"/>
          <w:jc w:val="center"/>
        </w:trPr>
        <w:tc>
          <w:tcPr>
            <w:tcW w:w="0" w:type="dxa"/>
            <w:vMerge/>
            <w:tcBorders>
              <w:top w:val="single" w:sz="4" w:space="0" w:color="auto"/>
              <w:left w:val="nil"/>
              <w:bottom w:val="single" w:sz="4" w:space="0" w:color="000000"/>
              <w:right w:val="nil"/>
            </w:tcBorders>
            <w:vAlign w:val="center"/>
            <w:hideMark/>
          </w:tcPr>
          <w:p w14:paraId="2618AE48" w14:textId="77777777" w:rsidR="006B566E" w:rsidRPr="00867595" w:rsidRDefault="006B566E" w:rsidP="00867595">
            <w:pPr>
              <w:keepNext/>
              <w:widowControl/>
              <w:spacing w:line="240" w:lineRule="auto"/>
              <w:jc w:val="left"/>
              <w:rPr>
                <w:rFonts w:ascii="Arial" w:hAnsi="Arial" w:cs="Arial"/>
                <w:b/>
                <w:color w:val="000000"/>
                <w:sz w:val="16"/>
                <w:szCs w:val="16"/>
              </w:rPr>
            </w:pPr>
          </w:p>
        </w:tc>
        <w:tc>
          <w:tcPr>
            <w:tcW w:w="0" w:type="dxa"/>
            <w:tcBorders>
              <w:top w:val="nil"/>
              <w:left w:val="single" w:sz="4" w:space="0" w:color="auto"/>
              <w:bottom w:val="single" w:sz="4" w:space="0" w:color="auto"/>
              <w:right w:val="nil"/>
            </w:tcBorders>
            <w:shd w:val="clear" w:color="auto" w:fill="auto"/>
            <w:noWrap/>
            <w:vAlign w:val="center"/>
            <w:hideMark/>
          </w:tcPr>
          <w:p w14:paraId="1BE2B655"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Média</w:t>
            </w:r>
          </w:p>
        </w:tc>
        <w:tc>
          <w:tcPr>
            <w:tcW w:w="0" w:type="dxa"/>
            <w:tcBorders>
              <w:top w:val="nil"/>
              <w:left w:val="nil"/>
              <w:bottom w:val="single" w:sz="4" w:space="0" w:color="auto"/>
              <w:right w:val="single" w:sz="4" w:space="0" w:color="auto"/>
            </w:tcBorders>
            <w:shd w:val="clear" w:color="auto" w:fill="auto"/>
            <w:noWrap/>
            <w:vAlign w:val="center"/>
            <w:hideMark/>
          </w:tcPr>
          <w:p w14:paraId="63799ADE"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Desvio-padrão</w:t>
            </w:r>
          </w:p>
        </w:tc>
        <w:tc>
          <w:tcPr>
            <w:tcW w:w="0" w:type="dxa"/>
            <w:tcBorders>
              <w:top w:val="nil"/>
              <w:left w:val="nil"/>
              <w:bottom w:val="single" w:sz="4" w:space="0" w:color="auto"/>
              <w:right w:val="nil"/>
            </w:tcBorders>
            <w:shd w:val="clear" w:color="auto" w:fill="auto"/>
            <w:noWrap/>
            <w:vAlign w:val="center"/>
            <w:hideMark/>
          </w:tcPr>
          <w:p w14:paraId="4B371522"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Média</w:t>
            </w:r>
          </w:p>
        </w:tc>
        <w:tc>
          <w:tcPr>
            <w:tcW w:w="0" w:type="dxa"/>
            <w:tcBorders>
              <w:top w:val="nil"/>
              <w:left w:val="nil"/>
              <w:bottom w:val="single" w:sz="4" w:space="0" w:color="auto"/>
              <w:right w:val="nil"/>
            </w:tcBorders>
            <w:shd w:val="clear" w:color="auto" w:fill="auto"/>
            <w:noWrap/>
            <w:vAlign w:val="center"/>
            <w:hideMark/>
          </w:tcPr>
          <w:p w14:paraId="1B329511" w14:textId="77777777" w:rsidR="006B566E" w:rsidRPr="00867595" w:rsidRDefault="006B566E" w:rsidP="00867595">
            <w:pPr>
              <w:keepNext/>
              <w:widowControl/>
              <w:spacing w:line="240" w:lineRule="auto"/>
              <w:jc w:val="center"/>
              <w:rPr>
                <w:rFonts w:ascii="Arial" w:hAnsi="Arial" w:cs="Arial"/>
                <w:b/>
                <w:color w:val="000000"/>
                <w:sz w:val="16"/>
                <w:szCs w:val="16"/>
              </w:rPr>
            </w:pPr>
            <w:r w:rsidRPr="00867595">
              <w:rPr>
                <w:rFonts w:ascii="Arial" w:hAnsi="Arial" w:cs="Arial"/>
                <w:b/>
                <w:color w:val="000000"/>
                <w:sz w:val="16"/>
                <w:szCs w:val="16"/>
              </w:rPr>
              <w:t>Desvio-padrão</w:t>
            </w:r>
          </w:p>
        </w:tc>
      </w:tr>
      <w:tr w:rsidR="006B566E" w:rsidRPr="00867595" w14:paraId="03CBF13F" w14:textId="77777777" w:rsidTr="00867595">
        <w:trPr>
          <w:trHeight w:val="20"/>
          <w:jc w:val="center"/>
        </w:trPr>
        <w:tc>
          <w:tcPr>
            <w:tcW w:w="0" w:type="dxa"/>
            <w:tcBorders>
              <w:top w:val="nil"/>
              <w:left w:val="nil"/>
              <w:bottom w:val="nil"/>
              <w:right w:val="nil"/>
            </w:tcBorders>
            <w:shd w:val="clear" w:color="auto" w:fill="auto"/>
            <w:noWrap/>
            <w:vAlign w:val="bottom"/>
            <w:hideMark/>
          </w:tcPr>
          <w:p w14:paraId="12A4A29E"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Remuneração da diretoria executiva (REMDE)</w:t>
            </w:r>
          </w:p>
        </w:tc>
        <w:tc>
          <w:tcPr>
            <w:tcW w:w="0" w:type="dxa"/>
            <w:tcBorders>
              <w:top w:val="nil"/>
              <w:left w:val="single" w:sz="4" w:space="0" w:color="auto"/>
              <w:bottom w:val="nil"/>
              <w:right w:val="nil"/>
            </w:tcBorders>
            <w:shd w:val="clear" w:color="auto" w:fill="auto"/>
            <w:noWrap/>
            <w:vAlign w:val="center"/>
            <w:hideMark/>
          </w:tcPr>
          <w:p w14:paraId="50FF38C7"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0,513</w:t>
            </w:r>
          </w:p>
        </w:tc>
        <w:tc>
          <w:tcPr>
            <w:tcW w:w="0" w:type="dxa"/>
            <w:tcBorders>
              <w:top w:val="nil"/>
              <w:left w:val="nil"/>
              <w:bottom w:val="nil"/>
              <w:right w:val="single" w:sz="4" w:space="0" w:color="auto"/>
            </w:tcBorders>
            <w:shd w:val="clear" w:color="auto" w:fill="auto"/>
            <w:noWrap/>
            <w:vAlign w:val="center"/>
            <w:hideMark/>
          </w:tcPr>
          <w:p w14:paraId="6A31F8AA"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0,228</w:t>
            </w:r>
          </w:p>
        </w:tc>
        <w:tc>
          <w:tcPr>
            <w:tcW w:w="0" w:type="dxa"/>
            <w:tcBorders>
              <w:top w:val="nil"/>
              <w:left w:val="nil"/>
              <w:bottom w:val="nil"/>
              <w:right w:val="nil"/>
            </w:tcBorders>
            <w:shd w:val="clear" w:color="auto" w:fill="auto"/>
            <w:noWrap/>
            <w:vAlign w:val="center"/>
            <w:hideMark/>
          </w:tcPr>
          <w:p w14:paraId="1A1D91D0"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0,665</w:t>
            </w:r>
          </w:p>
        </w:tc>
        <w:tc>
          <w:tcPr>
            <w:tcW w:w="0" w:type="dxa"/>
            <w:tcBorders>
              <w:top w:val="nil"/>
              <w:left w:val="nil"/>
              <w:bottom w:val="nil"/>
              <w:right w:val="nil"/>
            </w:tcBorders>
            <w:shd w:val="clear" w:color="auto" w:fill="auto"/>
            <w:noWrap/>
            <w:vAlign w:val="center"/>
            <w:hideMark/>
          </w:tcPr>
          <w:p w14:paraId="7B6F9C4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0,397</w:t>
            </w:r>
          </w:p>
        </w:tc>
      </w:tr>
      <w:tr w:rsidR="006B566E" w:rsidRPr="00867595" w14:paraId="6DFD9772" w14:textId="77777777" w:rsidTr="00867595">
        <w:trPr>
          <w:trHeight w:val="20"/>
          <w:jc w:val="center"/>
        </w:trPr>
        <w:tc>
          <w:tcPr>
            <w:tcW w:w="0" w:type="dxa"/>
            <w:tcBorders>
              <w:top w:val="nil"/>
              <w:left w:val="nil"/>
              <w:bottom w:val="nil"/>
              <w:right w:val="nil"/>
            </w:tcBorders>
            <w:shd w:val="clear" w:color="auto" w:fill="auto"/>
            <w:noWrap/>
            <w:vAlign w:val="bottom"/>
            <w:hideMark/>
          </w:tcPr>
          <w:p w14:paraId="41F2A513"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Independência dos administradores (INDEP)</w:t>
            </w:r>
          </w:p>
        </w:tc>
        <w:tc>
          <w:tcPr>
            <w:tcW w:w="0" w:type="dxa"/>
            <w:tcBorders>
              <w:top w:val="nil"/>
              <w:left w:val="single" w:sz="4" w:space="0" w:color="auto"/>
              <w:bottom w:val="nil"/>
              <w:right w:val="nil"/>
            </w:tcBorders>
            <w:shd w:val="clear" w:color="auto" w:fill="auto"/>
            <w:noWrap/>
            <w:vAlign w:val="center"/>
            <w:hideMark/>
          </w:tcPr>
          <w:p w14:paraId="14B3A3A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0,369</w:t>
            </w:r>
          </w:p>
        </w:tc>
        <w:tc>
          <w:tcPr>
            <w:tcW w:w="0" w:type="dxa"/>
            <w:tcBorders>
              <w:top w:val="nil"/>
              <w:left w:val="nil"/>
              <w:bottom w:val="nil"/>
              <w:right w:val="single" w:sz="4" w:space="0" w:color="auto"/>
            </w:tcBorders>
            <w:shd w:val="clear" w:color="auto" w:fill="auto"/>
            <w:noWrap/>
            <w:vAlign w:val="center"/>
            <w:hideMark/>
          </w:tcPr>
          <w:p w14:paraId="4A9AA1D3"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0,228</w:t>
            </w:r>
          </w:p>
        </w:tc>
        <w:tc>
          <w:tcPr>
            <w:tcW w:w="0" w:type="dxa"/>
            <w:tcBorders>
              <w:top w:val="nil"/>
              <w:left w:val="nil"/>
              <w:bottom w:val="nil"/>
              <w:right w:val="nil"/>
            </w:tcBorders>
            <w:shd w:val="clear" w:color="auto" w:fill="auto"/>
            <w:noWrap/>
            <w:vAlign w:val="center"/>
            <w:hideMark/>
          </w:tcPr>
          <w:p w14:paraId="293EF92A"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0,381</w:t>
            </w:r>
          </w:p>
        </w:tc>
        <w:tc>
          <w:tcPr>
            <w:tcW w:w="0" w:type="dxa"/>
            <w:tcBorders>
              <w:top w:val="nil"/>
              <w:left w:val="nil"/>
              <w:bottom w:val="nil"/>
              <w:right w:val="nil"/>
            </w:tcBorders>
            <w:shd w:val="clear" w:color="auto" w:fill="auto"/>
            <w:noWrap/>
            <w:vAlign w:val="center"/>
            <w:hideMark/>
          </w:tcPr>
          <w:p w14:paraId="6FE98E1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0,255</w:t>
            </w:r>
          </w:p>
        </w:tc>
      </w:tr>
      <w:tr w:rsidR="006B566E" w:rsidRPr="00867595" w14:paraId="59C8D1F1" w14:textId="77777777" w:rsidTr="00867595">
        <w:trPr>
          <w:trHeight w:val="20"/>
          <w:jc w:val="center"/>
        </w:trPr>
        <w:tc>
          <w:tcPr>
            <w:tcW w:w="0" w:type="dxa"/>
            <w:tcBorders>
              <w:top w:val="nil"/>
              <w:left w:val="nil"/>
              <w:bottom w:val="nil"/>
              <w:right w:val="nil"/>
            </w:tcBorders>
            <w:shd w:val="clear" w:color="auto" w:fill="auto"/>
            <w:noWrap/>
            <w:vAlign w:val="bottom"/>
            <w:hideMark/>
          </w:tcPr>
          <w:p w14:paraId="34A7D126"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Avaliação dos administradores (AVAL)</w:t>
            </w:r>
          </w:p>
        </w:tc>
        <w:tc>
          <w:tcPr>
            <w:tcW w:w="0" w:type="dxa"/>
            <w:tcBorders>
              <w:top w:val="nil"/>
              <w:left w:val="single" w:sz="4" w:space="0" w:color="auto"/>
              <w:bottom w:val="nil"/>
              <w:right w:val="nil"/>
            </w:tcBorders>
            <w:shd w:val="clear" w:color="auto" w:fill="auto"/>
            <w:noWrap/>
            <w:vAlign w:val="center"/>
            <w:hideMark/>
          </w:tcPr>
          <w:p w14:paraId="250F6577"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0,520</w:t>
            </w:r>
          </w:p>
        </w:tc>
        <w:tc>
          <w:tcPr>
            <w:tcW w:w="0" w:type="dxa"/>
            <w:tcBorders>
              <w:top w:val="nil"/>
              <w:left w:val="nil"/>
              <w:bottom w:val="nil"/>
              <w:right w:val="single" w:sz="4" w:space="0" w:color="auto"/>
            </w:tcBorders>
            <w:shd w:val="clear" w:color="auto" w:fill="auto"/>
            <w:noWrap/>
            <w:vAlign w:val="center"/>
            <w:hideMark/>
          </w:tcPr>
          <w:p w14:paraId="5AB444B8"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0,271</w:t>
            </w:r>
          </w:p>
        </w:tc>
        <w:tc>
          <w:tcPr>
            <w:tcW w:w="0" w:type="dxa"/>
            <w:tcBorders>
              <w:top w:val="nil"/>
              <w:left w:val="nil"/>
              <w:bottom w:val="nil"/>
              <w:right w:val="nil"/>
            </w:tcBorders>
            <w:shd w:val="clear" w:color="auto" w:fill="auto"/>
            <w:noWrap/>
            <w:vAlign w:val="center"/>
            <w:hideMark/>
          </w:tcPr>
          <w:p w14:paraId="50BD336A"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0,514</w:t>
            </w:r>
          </w:p>
        </w:tc>
        <w:tc>
          <w:tcPr>
            <w:tcW w:w="0" w:type="dxa"/>
            <w:tcBorders>
              <w:top w:val="nil"/>
              <w:left w:val="nil"/>
              <w:bottom w:val="nil"/>
              <w:right w:val="nil"/>
            </w:tcBorders>
            <w:shd w:val="clear" w:color="auto" w:fill="auto"/>
            <w:noWrap/>
            <w:vAlign w:val="center"/>
            <w:hideMark/>
          </w:tcPr>
          <w:p w14:paraId="056A4AE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0,417</w:t>
            </w:r>
          </w:p>
        </w:tc>
      </w:tr>
      <w:tr w:rsidR="006B566E" w:rsidRPr="00867595" w14:paraId="211F63F1" w14:textId="77777777" w:rsidTr="00867595">
        <w:trPr>
          <w:trHeight w:val="20"/>
          <w:jc w:val="center"/>
        </w:trPr>
        <w:tc>
          <w:tcPr>
            <w:tcW w:w="0" w:type="dxa"/>
            <w:tcBorders>
              <w:top w:val="nil"/>
              <w:left w:val="nil"/>
              <w:bottom w:val="nil"/>
              <w:right w:val="nil"/>
            </w:tcBorders>
            <w:shd w:val="clear" w:color="auto" w:fill="auto"/>
            <w:noWrap/>
            <w:vAlign w:val="bottom"/>
            <w:hideMark/>
          </w:tcPr>
          <w:p w14:paraId="082AE9B7"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Separação entre órgãos da administração (SEPCADE)</w:t>
            </w:r>
          </w:p>
        </w:tc>
        <w:tc>
          <w:tcPr>
            <w:tcW w:w="0" w:type="dxa"/>
            <w:tcBorders>
              <w:top w:val="nil"/>
              <w:left w:val="single" w:sz="4" w:space="0" w:color="auto"/>
              <w:bottom w:val="nil"/>
              <w:right w:val="nil"/>
            </w:tcBorders>
            <w:shd w:val="clear" w:color="auto" w:fill="auto"/>
            <w:noWrap/>
            <w:vAlign w:val="center"/>
            <w:hideMark/>
          </w:tcPr>
          <w:p w14:paraId="7154B8D1"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0,750</w:t>
            </w:r>
          </w:p>
        </w:tc>
        <w:tc>
          <w:tcPr>
            <w:tcW w:w="0" w:type="dxa"/>
            <w:tcBorders>
              <w:top w:val="nil"/>
              <w:left w:val="nil"/>
              <w:bottom w:val="nil"/>
              <w:right w:val="single" w:sz="4" w:space="0" w:color="auto"/>
            </w:tcBorders>
            <w:shd w:val="clear" w:color="auto" w:fill="auto"/>
            <w:noWrap/>
            <w:vAlign w:val="center"/>
            <w:hideMark/>
          </w:tcPr>
          <w:p w14:paraId="5A4311A0"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0,161</w:t>
            </w:r>
          </w:p>
        </w:tc>
        <w:tc>
          <w:tcPr>
            <w:tcW w:w="0" w:type="dxa"/>
            <w:tcBorders>
              <w:top w:val="nil"/>
              <w:left w:val="nil"/>
              <w:bottom w:val="nil"/>
              <w:right w:val="nil"/>
            </w:tcBorders>
            <w:shd w:val="clear" w:color="auto" w:fill="auto"/>
            <w:noWrap/>
            <w:vAlign w:val="center"/>
            <w:hideMark/>
          </w:tcPr>
          <w:p w14:paraId="5A080FF3"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0,905</w:t>
            </w:r>
          </w:p>
        </w:tc>
        <w:tc>
          <w:tcPr>
            <w:tcW w:w="0" w:type="dxa"/>
            <w:tcBorders>
              <w:top w:val="nil"/>
              <w:left w:val="nil"/>
              <w:bottom w:val="nil"/>
              <w:right w:val="nil"/>
            </w:tcBorders>
            <w:shd w:val="clear" w:color="auto" w:fill="auto"/>
            <w:noWrap/>
            <w:vAlign w:val="center"/>
            <w:hideMark/>
          </w:tcPr>
          <w:p w14:paraId="0258BB8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0,167</w:t>
            </w:r>
          </w:p>
        </w:tc>
      </w:tr>
      <w:tr w:rsidR="006B566E" w:rsidRPr="00867595" w14:paraId="0838959E" w14:textId="77777777" w:rsidTr="00867595">
        <w:trPr>
          <w:trHeight w:val="20"/>
          <w:jc w:val="center"/>
        </w:trPr>
        <w:tc>
          <w:tcPr>
            <w:tcW w:w="0" w:type="dxa"/>
            <w:tcBorders>
              <w:top w:val="nil"/>
              <w:left w:val="nil"/>
              <w:bottom w:val="single" w:sz="4" w:space="0" w:color="auto"/>
              <w:right w:val="nil"/>
            </w:tcBorders>
            <w:shd w:val="clear" w:color="auto" w:fill="auto"/>
            <w:noWrap/>
            <w:vAlign w:val="bottom"/>
            <w:hideMark/>
          </w:tcPr>
          <w:p w14:paraId="4C49E0FB" w14:textId="77777777" w:rsidR="006B566E" w:rsidRPr="00867595" w:rsidRDefault="006B566E" w:rsidP="00867595">
            <w:pPr>
              <w:widowControl/>
              <w:spacing w:line="240" w:lineRule="auto"/>
              <w:jc w:val="left"/>
              <w:rPr>
                <w:rFonts w:ascii="Arial" w:hAnsi="Arial" w:cs="Arial"/>
                <w:color w:val="000000"/>
                <w:sz w:val="16"/>
                <w:szCs w:val="16"/>
              </w:rPr>
            </w:pPr>
            <w:r w:rsidRPr="00867595">
              <w:rPr>
                <w:rFonts w:ascii="Arial" w:hAnsi="Arial" w:cs="Arial"/>
                <w:color w:val="000000"/>
                <w:sz w:val="16"/>
                <w:szCs w:val="16"/>
              </w:rPr>
              <w:t>Remuneração do conselho de administração (REMCA)</w:t>
            </w:r>
          </w:p>
        </w:tc>
        <w:tc>
          <w:tcPr>
            <w:tcW w:w="0" w:type="dxa"/>
            <w:tcBorders>
              <w:top w:val="nil"/>
              <w:left w:val="single" w:sz="4" w:space="0" w:color="auto"/>
              <w:bottom w:val="single" w:sz="4" w:space="0" w:color="auto"/>
              <w:right w:val="nil"/>
            </w:tcBorders>
            <w:shd w:val="clear" w:color="auto" w:fill="auto"/>
            <w:noWrap/>
            <w:vAlign w:val="center"/>
            <w:hideMark/>
          </w:tcPr>
          <w:p w14:paraId="4948D227"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0,290</w:t>
            </w:r>
          </w:p>
        </w:tc>
        <w:tc>
          <w:tcPr>
            <w:tcW w:w="0" w:type="dxa"/>
            <w:tcBorders>
              <w:top w:val="nil"/>
              <w:left w:val="nil"/>
              <w:bottom w:val="single" w:sz="4" w:space="0" w:color="auto"/>
              <w:right w:val="single" w:sz="4" w:space="0" w:color="auto"/>
            </w:tcBorders>
            <w:shd w:val="clear" w:color="auto" w:fill="auto"/>
            <w:noWrap/>
            <w:vAlign w:val="center"/>
            <w:hideMark/>
          </w:tcPr>
          <w:p w14:paraId="09B2FB43"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0,218</w:t>
            </w:r>
          </w:p>
        </w:tc>
        <w:tc>
          <w:tcPr>
            <w:tcW w:w="0" w:type="dxa"/>
            <w:tcBorders>
              <w:top w:val="nil"/>
              <w:left w:val="nil"/>
              <w:bottom w:val="single" w:sz="4" w:space="0" w:color="auto"/>
              <w:right w:val="nil"/>
            </w:tcBorders>
            <w:shd w:val="clear" w:color="auto" w:fill="auto"/>
            <w:noWrap/>
            <w:vAlign w:val="center"/>
            <w:hideMark/>
          </w:tcPr>
          <w:p w14:paraId="325DEBB1"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0,167</w:t>
            </w:r>
          </w:p>
        </w:tc>
        <w:tc>
          <w:tcPr>
            <w:tcW w:w="0" w:type="dxa"/>
            <w:tcBorders>
              <w:top w:val="nil"/>
              <w:left w:val="nil"/>
              <w:bottom w:val="single" w:sz="4" w:space="0" w:color="auto"/>
              <w:right w:val="nil"/>
            </w:tcBorders>
            <w:shd w:val="clear" w:color="auto" w:fill="auto"/>
            <w:noWrap/>
            <w:vAlign w:val="center"/>
            <w:hideMark/>
          </w:tcPr>
          <w:p w14:paraId="5827C189"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0,299</w:t>
            </w:r>
          </w:p>
        </w:tc>
      </w:tr>
    </w:tbl>
    <w:p w14:paraId="7DD070A3" w14:textId="77777777" w:rsidR="006B566E" w:rsidRPr="00867595" w:rsidRDefault="006B566E" w:rsidP="00867595">
      <w:pPr>
        <w:widowControl/>
        <w:spacing w:before="240" w:after="240" w:line="240" w:lineRule="auto"/>
        <w:ind w:firstLine="709"/>
        <w:rPr>
          <w:rFonts w:ascii="Arial" w:eastAsia="Calibri" w:hAnsi="Arial" w:cs="Arial"/>
          <w:sz w:val="18"/>
          <w:szCs w:val="18"/>
          <w:lang w:eastAsia="en-US"/>
        </w:rPr>
      </w:pPr>
      <w:r w:rsidRPr="00867595">
        <w:rPr>
          <w:rFonts w:ascii="Arial" w:eastAsia="Calibri" w:hAnsi="Arial" w:cs="Arial"/>
          <w:sz w:val="18"/>
          <w:szCs w:val="18"/>
          <w:lang w:eastAsia="en-US"/>
        </w:rPr>
        <w:t>Na Tabela 4 é mostrada a frequência absoluta e percentual do tipo de controle acionário. Observa-se que o controle familiar, conforme a literatura tem apontado, é o principal tipo de controle presente no mercado de capitais brasileiro (Aldrighi &amp; Mazzer, 2007; Crisóstomo &amp; Brandão, 2019; Peixoto &amp; Buccini, 2013). Entretanto, o número de empresas com outros tipos de controle é maior do que apontado em estudos anteriores. Entre estes outros tipos de controle acionário, destaca-se: o grande número de empresas com controle disperso e compartilhado, indicando um processo de dispersão da propriedade das empresas brasileiras; e o baixo número de empresas com controle governamental, o que pode ser resultado das privatizações que ocorreram nas últimas décadas.</w:t>
      </w:r>
    </w:p>
    <w:p w14:paraId="407E1DCB" w14:textId="77777777" w:rsidR="006B566E" w:rsidRPr="006B566E" w:rsidRDefault="006B566E" w:rsidP="00867595">
      <w:pPr>
        <w:keepNext/>
        <w:keepLines/>
        <w:widowControl/>
        <w:spacing w:line="240" w:lineRule="auto"/>
        <w:outlineLvl w:val="2"/>
        <w:rPr>
          <w:rFonts w:ascii="Arial" w:hAnsi="Arial" w:cs="Arial"/>
          <w:b/>
          <w:sz w:val="18"/>
          <w:szCs w:val="18"/>
          <w:lang w:eastAsia="en-US"/>
        </w:rPr>
      </w:pPr>
      <w:r w:rsidRPr="006B566E">
        <w:rPr>
          <w:rFonts w:ascii="Arial" w:hAnsi="Arial" w:cs="Arial"/>
          <w:b/>
          <w:sz w:val="18"/>
          <w:szCs w:val="18"/>
          <w:lang w:eastAsia="en-US"/>
        </w:rPr>
        <w:t>Tabela 4</w:t>
      </w:r>
    </w:p>
    <w:p w14:paraId="4149C2E6" w14:textId="77777777" w:rsidR="006B566E" w:rsidRPr="006B566E" w:rsidRDefault="006B566E" w:rsidP="00867595">
      <w:pPr>
        <w:keepNext/>
        <w:keepLines/>
        <w:widowControl/>
        <w:spacing w:line="240" w:lineRule="auto"/>
        <w:outlineLvl w:val="2"/>
        <w:rPr>
          <w:rFonts w:ascii="Arial" w:hAnsi="Arial" w:cs="Arial"/>
          <w:bCs/>
          <w:sz w:val="18"/>
          <w:szCs w:val="18"/>
          <w:lang w:eastAsia="en-US"/>
        </w:rPr>
      </w:pPr>
      <w:r w:rsidRPr="006B566E">
        <w:rPr>
          <w:rFonts w:ascii="Arial" w:hAnsi="Arial" w:cs="Arial"/>
          <w:bCs/>
          <w:sz w:val="18"/>
          <w:szCs w:val="18"/>
          <w:lang w:eastAsia="en-US"/>
        </w:rPr>
        <w:t>Tipo de controle acionário</w:t>
      </w:r>
      <w:r w:rsidR="00867595">
        <w:rPr>
          <w:rFonts w:ascii="Arial" w:hAnsi="Arial" w:cs="Arial"/>
          <w:bCs/>
          <w:sz w:val="18"/>
          <w:szCs w:val="18"/>
          <w:lang w:eastAsia="en-US"/>
        </w:rPr>
        <w:t>.</w:t>
      </w:r>
    </w:p>
    <w:tbl>
      <w:tblPr>
        <w:tblW w:w="7938" w:type="dxa"/>
        <w:jc w:val="center"/>
        <w:tblCellMar>
          <w:left w:w="70" w:type="dxa"/>
          <w:right w:w="70" w:type="dxa"/>
        </w:tblCellMar>
        <w:tblLook w:val="04A0" w:firstRow="1" w:lastRow="0" w:firstColumn="1" w:lastColumn="0" w:noHBand="0" w:noVBand="1"/>
      </w:tblPr>
      <w:tblGrid>
        <w:gridCol w:w="2934"/>
        <w:gridCol w:w="2724"/>
        <w:gridCol w:w="2280"/>
      </w:tblGrid>
      <w:tr w:rsidR="006B566E" w:rsidRPr="00867595" w14:paraId="43711398" w14:textId="77777777" w:rsidTr="00867595">
        <w:trPr>
          <w:trHeight w:val="20"/>
          <w:jc w:val="center"/>
        </w:trPr>
        <w:tc>
          <w:tcPr>
            <w:tcW w:w="0" w:type="dxa"/>
            <w:tcBorders>
              <w:top w:val="single" w:sz="4" w:space="0" w:color="auto"/>
              <w:left w:val="nil"/>
              <w:bottom w:val="single" w:sz="4" w:space="0" w:color="auto"/>
              <w:right w:val="nil"/>
            </w:tcBorders>
            <w:shd w:val="clear" w:color="auto" w:fill="auto"/>
            <w:noWrap/>
            <w:vAlign w:val="center"/>
            <w:hideMark/>
          </w:tcPr>
          <w:p w14:paraId="45C6B657" w14:textId="77777777" w:rsidR="006B566E" w:rsidRPr="00867595" w:rsidRDefault="006B566E" w:rsidP="00867595">
            <w:pPr>
              <w:keepNext/>
              <w:widowControl/>
              <w:spacing w:line="240" w:lineRule="auto"/>
              <w:jc w:val="center"/>
              <w:rPr>
                <w:rFonts w:ascii="Arial" w:hAnsi="Arial" w:cs="Arial"/>
                <w:b/>
                <w:bCs/>
                <w:color w:val="000000"/>
                <w:sz w:val="16"/>
                <w:szCs w:val="16"/>
              </w:rPr>
            </w:pPr>
            <w:r w:rsidRPr="00867595">
              <w:rPr>
                <w:rFonts w:ascii="Arial" w:hAnsi="Arial" w:cs="Arial"/>
                <w:b/>
                <w:bCs/>
                <w:color w:val="000000"/>
                <w:sz w:val="16"/>
                <w:szCs w:val="16"/>
              </w:rPr>
              <w:t>Controle acionário</w:t>
            </w:r>
          </w:p>
        </w:tc>
        <w:tc>
          <w:tcPr>
            <w:tcW w:w="0" w:type="dxa"/>
            <w:tcBorders>
              <w:top w:val="single" w:sz="4" w:space="0" w:color="auto"/>
              <w:left w:val="nil"/>
              <w:bottom w:val="single" w:sz="4" w:space="0" w:color="auto"/>
              <w:right w:val="nil"/>
            </w:tcBorders>
            <w:shd w:val="clear" w:color="auto" w:fill="auto"/>
            <w:noWrap/>
            <w:vAlign w:val="center"/>
            <w:hideMark/>
          </w:tcPr>
          <w:p w14:paraId="734DF7B3" w14:textId="77777777" w:rsidR="006B566E" w:rsidRPr="00867595" w:rsidRDefault="006B566E" w:rsidP="00867595">
            <w:pPr>
              <w:keepNext/>
              <w:widowControl/>
              <w:spacing w:line="240" w:lineRule="auto"/>
              <w:jc w:val="center"/>
              <w:rPr>
                <w:rFonts w:ascii="Arial" w:hAnsi="Arial" w:cs="Arial"/>
                <w:b/>
                <w:bCs/>
                <w:color w:val="000000"/>
                <w:sz w:val="16"/>
                <w:szCs w:val="16"/>
              </w:rPr>
            </w:pPr>
            <w:r w:rsidRPr="00867595">
              <w:rPr>
                <w:rFonts w:ascii="Arial" w:hAnsi="Arial" w:cs="Arial"/>
                <w:b/>
                <w:bCs/>
                <w:color w:val="000000"/>
                <w:sz w:val="16"/>
                <w:szCs w:val="16"/>
              </w:rPr>
              <w:t>Observações</w:t>
            </w:r>
          </w:p>
        </w:tc>
        <w:tc>
          <w:tcPr>
            <w:tcW w:w="0" w:type="dxa"/>
            <w:tcBorders>
              <w:top w:val="single" w:sz="4" w:space="0" w:color="auto"/>
              <w:left w:val="nil"/>
              <w:bottom w:val="single" w:sz="4" w:space="0" w:color="auto"/>
              <w:right w:val="nil"/>
            </w:tcBorders>
            <w:shd w:val="clear" w:color="auto" w:fill="auto"/>
            <w:noWrap/>
            <w:vAlign w:val="center"/>
            <w:hideMark/>
          </w:tcPr>
          <w:p w14:paraId="112494E7" w14:textId="77777777" w:rsidR="006B566E" w:rsidRPr="00867595" w:rsidRDefault="006B566E" w:rsidP="00867595">
            <w:pPr>
              <w:keepNext/>
              <w:widowControl/>
              <w:spacing w:line="240" w:lineRule="auto"/>
              <w:jc w:val="center"/>
              <w:rPr>
                <w:rFonts w:ascii="Arial" w:hAnsi="Arial" w:cs="Arial"/>
                <w:b/>
                <w:bCs/>
                <w:color w:val="000000"/>
                <w:sz w:val="16"/>
                <w:szCs w:val="16"/>
              </w:rPr>
            </w:pPr>
            <w:r w:rsidRPr="00867595">
              <w:rPr>
                <w:rFonts w:ascii="Arial" w:hAnsi="Arial" w:cs="Arial"/>
                <w:b/>
                <w:bCs/>
                <w:color w:val="000000"/>
                <w:sz w:val="16"/>
                <w:szCs w:val="16"/>
              </w:rPr>
              <w:t>Percentual (%)</w:t>
            </w:r>
          </w:p>
        </w:tc>
      </w:tr>
      <w:tr w:rsidR="006B566E" w:rsidRPr="00867595" w14:paraId="674E384C" w14:textId="77777777" w:rsidTr="00867595">
        <w:trPr>
          <w:trHeight w:val="20"/>
          <w:jc w:val="center"/>
        </w:trPr>
        <w:tc>
          <w:tcPr>
            <w:tcW w:w="0" w:type="dxa"/>
            <w:tcBorders>
              <w:top w:val="nil"/>
              <w:left w:val="nil"/>
              <w:bottom w:val="nil"/>
              <w:right w:val="nil"/>
            </w:tcBorders>
            <w:shd w:val="clear" w:color="auto" w:fill="auto"/>
            <w:noWrap/>
            <w:vAlign w:val="bottom"/>
            <w:hideMark/>
          </w:tcPr>
          <w:p w14:paraId="64099877"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Disperso (DISP)</w:t>
            </w:r>
          </w:p>
        </w:tc>
        <w:tc>
          <w:tcPr>
            <w:tcW w:w="0" w:type="dxa"/>
            <w:tcBorders>
              <w:top w:val="nil"/>
              <w:left w:val="nil"/>
              <w:bottom w:val="nil"/>
              <w:right w:val="nil"/>
            </w:tcBorders>
            <w:shd w:val="clear" w:color="auto" w:fill="auto"/>
            <w:noWrap/>
            <w:vAlign w:val="center"/>
            <w:hideMark/>
          </w:tcPr>
          <w:p w14:paraId="5F2AFCCC"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116</w:t>
            </w:r>
          </w:p>
        </w:tc>
        <w:tc>
          <w:tcPr>
            <w:tcW w:w="0" w:type="dxa"/>
            <w:tcBorders>
              <w:top w:val="nil"/>
              <w:left w:val="nil"/>
              <w:bottom w:val="nil"/>
              <w:right w:val="nil"/>
            </w:tcBorders>
            <w:shd w:val="clear" w:color="auto" w:fill="auto"/>
            <w:noWrap/>
            <w:vAlign w:val="center"/>
            <w:hideMark/>
          </w:tcPr>
          <w:p w14:paraId="0F3109B6"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15,65</w:t>
            </w:r>
          </w:p>
        </w:tc>
      </w:tr>
      <w:tr w:rsidR="006B566E" w:rsidRPr="00867595" w14:paraId="249DE5CC" w14:textId="77777777" w:rsidTr="00867595">
        <w:trPr>
          <w:trHeight w:val="20"/>
          <w:jc w:val="center"/>
        </w:trPr>
        <w:tc>
          <w:tcPr>
            <w:tcW w:w="0" w:type="dxa"/>
            <w:tcBorders>
              <w:top w:val="nil"/>
              <w:left w:val="nil"/>
              <w:bottom w:val="nil"/>
              <w:right w:val="nil"/>
            </w:tcBorders>
            <w:shd w:val="clear" w:color="auto" w:fill="auto"/>
            <w:noWrap/>
            <w:vAlign w:val="bottom"/>
            <w:hideMark/>
          </w:tcPr>
          <w:p w14:paraId="3ED2A9C1"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Compartilhado (COMP)</w:t>
            </w:r>
          </w:p>
        </w:tc>
        <w:tc>
          <w:tcPr>
            <w:tcW w:w="0" w:type="dxa"/>
            <w:tcBorders>
              <w:top w:val="nil"/>
              <w:left w:val="nil"/>
              <w:bottom w:val="nil"/>
              <w:right w:val="nil"/>
            </w:tcBorders>
            <w:shd w:val="clear" w:color="auto" w:fill="auto"/>
            <w:noWrap/>
            <w:vAlign w:val="center"/>
            <w:hideMark/>
          </w:tcPr>
          <w:p w14:paraId="32C72B67"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169</w:t>
            </w:r>
          </w:p>
        </w:tc>
        <w:tc>
          <w:tcPr>
            <w:tcW w:w="0" w:type="dxa"/>
            <w:tcBorders>
              <w:top w:val="nil"/>
              <w:left w:val="nil"/>
              <w:bottom w:val="nil"/>
              <w:right w:val="nil"/>
            </w:tcBorders>
            <w:shd w:val="clear" w:color="auto" w:fill="auto"/>
            <w:noWrap/>
            <w:vAlign w:val="center"/>
            <w:hideMark/>
          </w:tcPr>
          <w:p w14:paraId="1DD8E38A"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22,81</w:t>
            </w:r>
          </w:p>
        </w:tc>
      </w:tr>
      <w:tr w:rsidR="006B566E" w:rsidRPr="00867595" w14:paraId="176CFB01" w14:textId="77777777" w:rsidTr="00867595">
        <w:trPr>
          <w:trHeight w:val="20"/>
          <w:jc w:val="center"/>
        </w:trPr>
        <w:tc>
          <w:tcPr>
            <w:tcW w:w="0" w:type="dxa"/>
            <w:tcBorders>
              <w:top w:val="nil"/>
              <w:left w:val="nil"/>
              <w:bottom w:val="nil"/>
              <w:right w:val="nil"/>
            </w:tcBorders>
            <w:shd w:val="clear" w:color="auto" w:fill="auto"/>
            <w:noWrap/>
            <w:vAlign w:val="bottom"/>
            <w:hideMark/>
          </w:tcPr>
          <w:p w14:paraId="58859395"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Familiar (FAM)</w:t>
            </w:r>
          </w:p>
        </w:tc>
        <w:tc>
          <w:tcPr>
            <w:tcW w:w="0" w:type="dxa"/>
            <w:tcBorders>
              <w:top w:val="nil"/>
              <w:left w:val="nil"/>
              <w:bottom w:val="nil"/>
              <w:right w:val="nil"/>
            </w:tcBorders>
            <w:shd w:val="clear" w:color="auto" w:fill="auto"/>
            <w:noWrap/>
            <w:vAlign w:val="center"/>
            <w:hideMark/>
          </w:tcPr>
          <w:p w14:paraId="177B981E"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244</w:t>
            </w:r>
          </w:p>
        </w:tc>
        <w:tc>
          <w:tcPr>
            <w:tcW w:w="0" w:type="dxa"/>
            <w:tcBorders>
              <w:top w:val="nil"/>
              <w:left w:val="nil"/>
              <w:bottom w:val="nil"/>
              <w:right w:val="nil"/>
            </w:tcBorders>
            <w:shd w:val="clear" w:color="auto" w:fill="auto"/>
            <w:noWrap/>
            <w:vAlign w:val="center"/>
            <w:hideMark/>
          </w:tcPr>
          <w:p w14:paraId="7B877A55"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32,93</w:t>
            </w:r>
          </w:p>
        </w:tc>
      </w:tr>
      <w:tr w:rsidR="006B566E" w:rsidRPr="00867595" w14:paraId="1979EB3B" w14:textId="77777777" w:rsidTr="00867595">
        <w:trPr>
          <w:trHeight w:val="20"/>
          <w:jc w:val="center"/>
        </w:trPr>
        <w:tc>
          <w:tcPr>
            <w:tcW w:w="0" w:type="dxa"/>
            <w:tcBorders>
              <w:top w:val="nil"/>
              <w:left w:val="nil"/>
              <w:bottom w:val="nil"/>
              <w:right w:val="nil"/>
            </w:tcBorders>
            <w:shd w:val="clear" w:color="auto" w:fill="auto"/>
            <w:noWrap/>
            <w:vAlign w:val="bottom"/>
            <w:hideMark/>
          </w:tcPr>
          <w:p w14:paraId="4AE60D09"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Empresarial (EMP)</w:t>
            </w:r>
          </w:p>
        </w:tc>
        <w:tc>
          <w:tcPr>
            <w:tcW w:w="0" w:type="dxa"/>
            <w:tcBorders>
              <w:top w:val="nil"/>
              <w:left w:val="nil"/>
              <w:bottom w:val="nil"/>
              <w:right w:val="nil"/>
            </w:tcBorders>
            <w:shd w:val="clear" w:color="auto" w:fill="auto"/>
            <w:noWrap/>
            <w:vAlign w:val="center"/>
            <w:hideMark/>
          </w:tcPr>
          <w:p w14:paraId="768EEA88"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144</w:t>
            </w:r>
          </w:p>
        </w:tc>
        <w:tc>
          <w:tcPr>
            <w:tcW w:w="0" w:type="dxa"/>
            <w:tcBorders>
              <w:top w:val="nil"/>
              <w:left w:val="nil"/>
              <w:bottom w:val="nil"/>
              <w:right w:val="nil"/>
            </w:tcBorders>
            <w:shd w:val="clear" w:color="auto" w:fill="auto"/>
            <w:noWrap/>
            <w:vAlign w:val="center"/>
            <w:hideMark/>
          </w:tcPr>
          <w:p w14:paraId="63C8628F"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19,43</w:t>
            </w:r>
          </w:p>
        </w:tc>
      </w:tr>
      <w:tr w:rsidR="006B566E" w:rsidRPr="00867595" w14:paraId="481ACAFA" w14:textId="77777777" w:rsidTr="00867595">
        <w:trPr>
          <w:trHeight w:val="20"/>
          <w:jc w:val="center"/>
        </w:trPr>
        <w:tc>
          <w:tcPr>
            <w:tcW w:w="0" w:type="dxa"/>
            <w:tcBorders>
              <w:top w:val="nil"/>
              <w:left w:val="nil"/>
              <w:bottom w:val="nil"/>
              <w:right w:val="nil"/>
            </w:tcBorders>
            <w:shd w:val="clear" w:color="auto" w:fill="auto"/>
            <w:noWrap/>
            <w:vAlign w:val="bottom"/>
            <w:hideMark/>
          </w:tcPr>
          <w:p w14:paraId="754203C2" w14:textId="77777777" w:rsidR="006B566E" w:rsidRPr="00867595" w:rsidRDefault="006B566E" w:rsidP="00867595">
            <w:pPr>
              <w:keepNext/>
              <w:widowControl/>
              <w:spacing w:line="240" w:lineRule="auto"/>
              <w:jc w:val="left"/>
              <w:rPr>
                <w:rFonts w:ascii="Arial" w:hAnsi="Arial" w:cs="Arial"/>
                <w:color w:val="000000"/>
                <w:sz w:val="16"/>
                <w:szCs w:val="16"/>
              </w:rPr>
            </w:pPr>
            <w:r w:rsidRPr="00867595">
              <w:rPr>
                <w:rFonts w:ascii="Arial" w:hAnsi="Arial" w:cs="Arial"/>
                <w:color w:val="000000"/>
                <w:sz w:val="16"/>
                <w:szCs w:val="16"/>
              </w:rPr>
              <w:t>Governamental (GOV)</w:t>
            </w:r>
          </w:p>
        </w:tc>
        <w:tc>
          <w:tcPr>
            <w:tcW w:w="0" w:type="dxa"/>
            <w:tcBorders>
              <w:top w:val="nil"/>
              <w:left w:val="nil"/>
              <w:bottom w:val="nil"/>
              <w:right w:val="nil"/>
            </w:tcBorders>
            <w:shd w:val="clear" w:color="auto" w:fill="auto"/>
            <w:noWrap/>
            <w:vAlign w:val="center"/>
            <w:hideMark/>
          </w:tcPr>
          <w:p w14:paraId="009714B4"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68</w:t>
            </w:r>
          </w:p>
        </w:tc>
        <w:tc>
          <w:tcPr>
            <w:tcW w:w="0" w:type="dxa"/>
            <w:tcBorders>
              <w:top w:val="nil"/>
              <w:left w:val="nil"/>
              <w:bottom w:val="nil"/>
              <w:right w:val="nil"/>
            </w:tcBorders>
            <w:shd w:val="clear" w:color="auto" w:fill="auto"/>
            <w:noWrap/>
            <w:vAlign w:val="center"/>
            <w:hideMark/>
          </w:tcPr>
          <w:p w14:paraId="3F01EE2B" w14:textId="77777777" w:rsidR="006B566E" w:rsidRPr="00867595" w:rsidRDefault="006B566E" w:rsidP="00867595">
            <w:pPr>
              <w:keepNext/>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9,18</w:t>
            </w:r>
          </w:p>
        </w:tc>
      </w:tr>
      <w:tr w:rsidR="006B566E" w:rsidRPr="00867595" w14:paraId="7E2980EA" w14:textId="77777777" w:rsidTr="00867595">
        <w:trPr>
          <w:trHeight w:val="20"/>
          <w:jc w:val="center"/>
        </w:trPr>
        <w:tc>
          <w:tcPr>
            <w:tcW w:w="0" w:type="dxa"/>
            <w:tcBorders>
              <w:top w:val="single" w:sz="4" w:space="0" w:color="auto"/>
              <w:left w:val="nil"/>
              <w:bottom w:val="single" w:sz="4" w:space="0" w:color="auto"/>
              <w:right w:val="nil"/>
            </w:tcBorders>
            <w:shd w:val="clear" w:color="auto" w:fill="auto"/>
            <w:noWrap/>
            <w:vAlign w:val="bottom"/>
            <w:hideMark/>
          </w:tcPr>
          <w:p w14:paraId="46E9B894" w14:textId="77777777" w:rsidR="006B566E" w:rsidRPr="00867595" w:rsidRDefault="006B566E" w:rsidP="00867595">
            <w:pPr>
              <w:widowControl/>
              <w:spacing w:line="240" w:lineRule="auto"/>
              <w:jc w:val="left"/>
              <w:rPr>
                <w:rFonts w:ascii="Arial" w:hAnsi="Arial" w:cs="Arial"/>
                <w:color w:val="000000"/>
                <w:sz w:val="16"/>
                <w:szCs w:val="16"/>
              </w:rPr>
            </w:pPr>
            <w:r w:rsidRPr="00867595">
              <w:rPr>
                <w:rFonts w:ascii="Arial" w:hAnsi="Arial" w:cs="Arial"/>
                <w:color w:val="000000"/>
                <w:sz w:val="16"/>
                <w:szCs w:val="16"/>
              </w:rPr>
              <w:t>Total</w:t>
            </w:r>
          </w:p>
        </w:tc>
        <w:tc>
          <w:tcPr>
            <w:tcW w:w="0" w:type="dxa"/>
            <w:tcBorders>
              <w:top w:val="single" w:sz="4" w:space="0" w:color="auto"/>
              <w:left w:val="nil"/>
              <w:bottom w:val="single" w:sz="4" w:space="0" w:color="auto"/>
              <w:right w:val="nil"/>
            </w:tcBorders>
            <w:shd w:val="clear" w:color="auto" w:fill="auto"/>
            <w:noWrap/>
            <w:vAlign w:val="center"/>
            <w:hideMark/>
          </w:tcPr>
          <w:p w14:paraId="0F5AE4DA"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741</w:t>
            </w:r>
          </w:p>
        </w:tc>
        <w:tc>
          <w:tcPr>
            <w:tcW w:w="0" w:type="dxa"/>
            <w:tcBorders>
              <w:top w:val="single" w:sz="4" w:space="0" w:color="auto"/>
              <w:left w:val="nil"/>
              <w:bottom w:val="single" w:sz="4" w:space="0" w:color="auto"/>
              <w:right w:val="nil"/>
            </w:tcBorders>
            <w:shd w:val="clear" w:color="auto" w:fill="auto"/>
            <w:noWrap/>
            <w:vAlign w:val="center"/>
            <w:hideMark/>
          </w:tcPr>
          <w:p w14:paraId="2D0A45EE" w14:textId="77777777" w:rsidR="006B566E" w:rsidRPr="00867595" w:rsidRDefault="006B566E" w:rsidP="00867595">
            <w:pPr>
              <w:widowControl/>
              <w:spacing w:line="240" w:lineRule="auto"/>
              <w:jc w:val="center"/>
              <w:rPr>
                <w:rFonts w:ascii="Arial" w:hAnsi="Arial" w:cs="Arial"/>
                <w:color w:val="000000"/>
                <w:sz w:val="16"/>
                <w:szCs w:val="16"/>
              </w:rPr>
            </w:pPr>
            <w:r w:rsidRPr="00867595">
              <w:rPr>
                <w:rFonts w:ascii="Arial" w:eastAsia="Calibri" w:hAnsi="Arial" w:cs="Arial"/>
                <w:color w:val="000000"/>
                <w:sz w:val="16"/>
                <w:szCs w:val="16"/>
                <w:lang w:eastAsia="en-US"/>
              </w:rPr>
              <w:t>100,00</w:t>
            </w:r>
          </w:p>
        </w:tc>
      </w:tr>
    </w:tbl>
    <w:p w14:paraId="19439FD3" w14:textId="77777777" w:rsidR="006B566E" w:rsidRPr="00867595" w:rsidRDefault="006B566E" w:rsidP="00867595">
      <w:pPr>
        <w:widowControl/>
        <w:spacing w:before="240" w:after="240" w:line="240" w:lineRule="auto"/>
        <w:ind w:firstLine="709"/>
        <w:rPr>
          <w:rFonts w:ascii="Arial" w:eastAsia="Calibri" w:hAnsi="Arial" w:cs="Arial"/>
          <w:sz w:val="18"/>
          <w:szCs w:val="18"/>
          <w:lang w:eastAsia="en-US"/>
        </w:rPr>
      </w:pPr>
      <w:r w:rsidRPr="00867595">
        <w:rPr>
          <w:rFonts w:ascii="Arial" w:eastAsia="Calibri" w:hAnsi="Arial" w:cs="Arial"/>
          <w:sz w:val="18"/>
          <w:szCs w:val="18"/>
          <w:lang w:eastAsia="en-US"/>
        </w:rPr>
        <w:t>Na Tabela 5 é apresentada a estatística descritiva das variáveis financeiras utilizadas no estudo. Observa-se que o valor de mercado das empresas analisadas, segundo a percepção de investidores no mercado de ações, é elevado, aproximadamente 2,7 vezes maior do que o valor contábil. O retorno contábil, por sua vez, é de aproximadamente 7,6%, mas com elevada variabilidade entre as empresas.</w:t>
      </w:r>
    </w:p>
    <w:p w14:paraId="52571D38" w14:textId="77777777" w:rsidR="006B566E" w:rsidRPr="006B566E" w:rsidRDefault="006B566E" w:rsidP="006B566E">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5</w:t>
      </w:r>
    </w:p>
    <w:p w14:paraId="7308D6B1" w14:textId="77777777" w:rsidR="006B566E" w:rsidRPr="006B566E" w:rsidRDefault="006B566E" w:rsidP="006B566E">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Estatística descritiva das variáveis financeiras</w:t>
      </w:r>
      <w:r w:rsidR="00867595">
        <w:rPr>
          <w:rFonts w:ascii="Arial" w:hAnsi="Arial" w:cs="Arial"/>
          <w:bCs/>
          <w:sz w:val="18"/>
          <w:szCs w:val="18"/>
          <w:lang w:eastAsia="en-US"/>
        </w:rPr>
        <w:t>.</w:t>
      </w:r>
    </w:p>
    <w:tbl>
      <w:tblPr>
        <w:tblW w:w="7938" w:type="dxa"/>
        <w:jc w:val="center"/>
        <w:tblCellMar>
          <w:left w:w="70" w:type="dxa"/>
          <w:right w:w="70" w:type="dxa"/>
        </w:tblCellMar>
        <w:tblLook w:val="04A0" w:firstRow="1" w:lastRow="0" w:firstColumn="1" w:lastColumn="0" w:noHBand="0" w:noVBand="1"/>
      </w:tblPr>
      <w:tblGrid>
        <w:gridCol w:w="2099"/>
        <w:gridCol w:w="1343"/>
        <w:gridCol w:w="1436"/>
        <w:gridCol w:w="1492"/>
        <w:gridCol w:w="1568"/>
      </w:tblGrid>
      <w:tr w:rsidR="006B566E" w:rsidRPr="00D87A24" w14:paraId="055AC30D" w14:textId="77777777" w:rsidTr="00D87A24">
        <w:trPr>
          <w:trHeight w:val="20"/>
          <w:jc w:val="center"/>
        </w:trPr>
        <w:tc>
          <w:tcPr>
            <w:tcW w:w="0" w:type="dxa"/>
            <w:tcBorders>
              <w:top w:val="single" w:sz="4" w:space="0" w:color="auto"/>
              <w:left w:val="nil"/>
              <w:bottom w:val="single" w:sz="4" w:space="0" w:color="auto"/>
              <w:right w:val="nil"/>
            </w:tcBorders>
            <w:shd w:val="clear" w:color="auto" w:fill="auto"/>
            <w:noWrap/>
            <w:vAlign w:val="bottom"/>
            <w:hideMark/>
          </w:tcPr>
          <w:p w14:paraId="35212CFA" w14:textId="77777777" w:rsidR="006B566E" w:rsidRPr="00D87A24" w:rsidRDefault="006B566E" w:rsidP="00D87A24">
            <w:pPr>
              <w:keepNext/>
              <w:widowControl/>
              <w:spacing w:line="240" w:lineRule="auto"/>
              <w:jc w:val="left"/>
              <w:rPr>
                <w:rFonts w:ascii="Arial" w:hAnsi="Arial" w:cs="Arial"/>
                <w:b/>
                <w:bCs/>
                <w:color w:val="000000"/>
                <w:sz w:val="16"/>
                <w:szCs w:val="16"/>
              </w:rPr>
            </w:pPr>
            <w:r w:rsidRPr="00D87A24">
              <w:rPr>
                <w:rFonts w:ascii="Arial" w:hAnsi="Arial" w:cs="Arial"/>
                <w:b/>
                <w:bCs/>
                <w:color w:val="000000"/>
                <w:sz w:val="16"/>
                <w:szCs w:val="16"/>
              </w:rPr>
              <w:t>Variáveis financeiras</w:t>
            </w:r>
          </w:p>
        </w:tc>
        <w:tc>
          <w:tcPr>
            <w:tcW w:w="0" w:type="dxa"/>
            <w:tcBorders>
              <w:top w:val="single" w:sz="4" w:space="0" w:color="auto"/>
              <w:left w:val="nil"/>
              <w:bottom w:val="single" w:sz="4" w:space="0" w:color="auto"/>
              <w:right w:val="nil"/>
            </w:tcBorders>
            <w:shd w:val="clear" w:color="auto" w:fill="auto"/>
            <w:noWrap/>
            <w:vAlign w:val="center"/>
            <w:hideMark/>
          </w:tcPr>
          <w:p w14:paraId="54C74338" w14:textId="77777777" w:rsidR="006B566E" w:rsidRPr="00D87A24" w:rsidRDefault="006B566E" w:rsidP="00D87A24">
            <w:pPr>
              <w:keepNext/>
              <w:widowControl/>
              <w:spacing w:line="240" w:lineRule="auto"/>
              <w:jc w:val="center"/>
              <w:rPr>
                <w:rFonts w:ascii="Arial" w:hAnsi="Arial" w:cs="Arial"/>
                <w:b/>
                <w:bCs/>
                <w:color w:val="000000"/>
                <w:sz w:val="16"/>
                <w:szCs w:val="16"/>
              </w:rPr>
            </w:pPr>
            <w:r w:rsidRPr="00D87A24">
              <w:rPr>
                <w:rFonts w:ascii="Arial" w:hAnsi="Arial" w:cs="Arial"/>
                <w:b/>
                <w:bCs/>
                <w:color w:val="000000"/>
                <w:sz w:val="16"/>
                <w:szCs w:val="16"/>
              </w:rPr>
              <w:t>Média</w:t>
            </w:r>
          </w:p>
        </w:tc>
        <w:tc>
          <w:tcPr>
            <w:tcW w:w="0" w:type="dxa"/>
            <w:tcBorders>
              <w:top w:val="single" w:sz="4" w:space="0" w:color="auto"/>
              <w:left w:val="nil"/>
              <w:bottom w:val="single" w:sz="4" w:space="0" w:color="auto"/>
              <w:right w:val="nil"/>
            </w:tcBorders>
            <w:shd w:val="clear" w:color="auto" w:fill="auto"/>
            <w:noWrap/>
            <w:vAlign w:val="center"/>
            <w:hideMark/>
          </w:tcPr>
          <w:p w14:paraId="7B6A915C" w14:textId="77777777" w:rsidR="006B566E" w:rsidRPr="00D87A24" w:rsidRDefault="006B566E" w:rsidP="00D87A24">
            <w:pPr>
              <w:keepNext/>
              <w:widowControl/>
              <w:spacing w:line="240" w:lineRule="auto"/>
              <w:jc w:val="center"/>
              <w:rPr>
                <w:rFonts w:ascii="Arial" w:hAnsi="Arial" w:cs="Arial"/>
                <w:b/>
                <w:bCs/>
                <w:color w:val="000000"/>
                <w:sz w:val="16"/>
                <w:szCs w:val="16"/>
              </w:rPr>
            </w:pPr>
            <w:r w:rsidRPr="00D87A24">
              <w:rPr>
                <w:rFonts w:ascii="Arial" w:hAnsi="Arial" w:cs="Arial"/>
                <w:b/>
                <w:bCs/>
                <w:color w:val="000000"/>
                <w:sz w:val="16"/>
                <w:szCs w:val="16"/>
              </w:rPr>
              <w:t>Desvio padrão</w:t>
            </w:r>
          </w:p>
        </w:tc>
        <w:tc>
          <w:tcPr>
            <w:tcW w:w="0" w:type="dxa"/>
            <w:tcBorders>
              <w:top w:val="single" w:sz="4" w:space="0" w:color="auto"/>
              <w:left w:val="nil"/>
              <w:bottom w:val="single" w:sz="4" w:space="0" w:color="auto"/>
              <w:right w:val="nil"/>
            </w:tcBorders>
            <w:shd w:val="clear" w:color="auto" w:fill="auto"/>
            <w:noWrap/>
            <w:vAlign w:val="center"/>
            <w:hideMark/>
          </w:tcPr>
          <w:p w14:paraId="42576458" w14:textId="77777777" w:rsidR="006B566E" w:rsidRPr="00D87A24" w:rsidRDefault="006B566E" w:rsidP="00D87A24">
            <w:pPr>
              <w:keepNext/>
              <w:widowControl/>
              <w:spacing w:line="240" w:lineRule="auto"/>
              <w:jc w:val="center"/>
              <w:rPr>
                <w:rFonts w:ascii="Arial" w:hAnsi="Arial" w:cs="Arial"/>
                <w:b/>
                <w:bCs/>
                <w:color w:val="000000"/>
                <w:sz w:val="16"/>
                <w:szCs w:val="16"/>
              </w:rPr>
            </w:pPr>
            <w:r w:rsidRPr="00D87A24">
              <w:rPr>
                <w:rFonts w:ascii="Arial" w:hAnsi="Arial" w:cs="Arial"/>
                <w:b/>
                <w:bCs/>
                <w:color w:val="000000"/>
                <w:sz w:val="16"/>
                <w:szCs w:val="16"/>
              </w:rPr>
              <w:t>Mínimo</w:t>
            </w:r>
          </w:p>
        </w:tc>
        <w:tc>
          <w:tcPr>
            <w:tcW w:w="0" w:type="dxa"/>
            <w:tcBorders>
              <w:top w:val="single" w:sz="4" w:space="0" w:color="auto"/>
              <w:left w:val="nil"/>
              <w:bottom w:val="single" w:sz="4" w:space="0" w:color="auto"/>
              <w:right w:val="nil"/>
            </w:tcBorders>
            <w:shd w:val="clear" w:color="auto" w:fill="auto"/>
            <w:noWrap/>
            <w:vAlign w:val="center"/>
            <w:hideMark/>
          </w:tcPr>
          <w:p w14:paraId="2DB1496E" w14:textId="77777777" w:rsidR="006B566E" w:rsidRPr="00D87A24" w:rsidRDefault="006B566E" w:rsidP="00D87A24">
            <w:pPr>
              <w:keepNext/>
              <w:widowControl/>
              <w:spacing w:line="240" w:lineRule="auto"/>
              <w:jc w:val="center"/>
              <w:rPr>
                <w:rFonts w:ascii="Arial" w:hAnsi="Arial" w:cs="Arial"/>
                <w:b/>
                <w:bCs/>
                <w:color w:val="000000"/>
                <w:sz w:val="16"/>
                <w:szCs w:val="16"/>
              </w:rPr>
            </w:pPr>
            <w:r w:rsidRPr="00D87A24">
              <w:rPr>
                <w:rFonts w:ascii="Arial" w:hAnsi="Arial" w:cs="Arial"/>
                <w:b/>
                <w:bCs/>
                <w:color w:val="000000"/>
                <w:sz w:val="16"/>
                <w:szCs w:val="16"/>
              </w:rPr>
              <w:t>Máximo</w:t>
            </w:r>
          </w:p>
        </w:tc>
      </w:tr>
      <w:tr w:rsidR="006B566E" w:rsidRPr="00D87A24" w14:paraId="2348054E" w14:textId="77777777" w:rsidTr="00D87A24">
        <w:trPr>
          <w:trHeight w:val="20"/>
          <w:jc w:val="center"/>
        </w:trPr>
        <w:tc>
          <w:tcPr>
            <w:tcW w:w="0" w:type="dxa"/>
            <w:tcBorders>
              <w:top w:val="nil"/>
              <w:left w:val="nil"/>
              <w:bottom w:val="nil"/>
              <w:right w:val="nil"/>
            </w:tcBorders>
            <w:shd w:val="clear" w:color="auto" w:fill="auto"/>
            <w:noWrap/>
            <w:vAlign w:val="bottom"/>
            <w:hideMark/>
          </w:tcPr>
          <w:p w14:paraId="05F98525" w14:textId="77777777" w:rsidR="006B566E" w:rsidRPr="00D87A24" w:rsidRDefault="006B566E" w:rsidP="00D87A24">
            <w:pPr>
              <w:keepNext/>
              <w:widowControl/>
              <w:spacing w:line="240" w:lineRule="auto"/>
              <w:jc w:val="left"/>
              <w:rPr>
                <w:rFonts w:ascii="Arial" w:hAnsi="Arial" w:cs="Arial"/>
                <w:color w:val="000000"/>
                <w:sz w:val="16"/>
                <w:szCs w:val="16"/>
              </w:rPr>
            </w:pPr>
            <w:r w:rsidRPr="00D87A24">
              <w:rPr>
                <w:rFonts w:ascii="Arial" w:hAnsi="Arial" w:cs="Arial"/>
                <w:i/>
                <w:color w:val="000000"/>
                <w:sz w:val="16"/>
                <w:szCs w:val="16"/>
              </w:rPr>
              <w:t>Market-to-book</w:t>
            </w:r>
            <w:r w:rsidRPr="00D87A24">
              <w:rPr>
                <w:rFonts w:ascii="Arial" w:hAnsi="Arial" w:cs="Arial"/>
                <w:color w:val="000000"/>
                <w:sz w:val="16"/>
                <w:szCs w:val="16"/>
              </w:rPr>
              <w:t xml:space="preserve"> (MB)</w:t>
            </w:r>
          </w:p>
        </w:tc>
        <w:tc>
          <w:tcPr>
            <w:tcW w:w="0" w:type="dxa"/>
            <w:tcBorders>
              <w:top w:val="nil"/>
              <w:left w:val="nil"/>
              <w:bottom w:val="nil"/>
              <w:right w:val="nil"/>
            </w:tcBorders>
            <w:shd w:val="clear" w:color="auto" w:fill="auto"/>
            <w:noWrap/>
            <w:vAlign w:val="center"/>
            <w:hideMark/>
          </w:tcPr>
          <w:p w14:paraId="5075917D"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2,661</w:t>
            </w:r>
          </w:p>
        </w:tc>
        <w:tc>
          <w:tcPr>
            <w:tcW w:w="0" w:type="dxa"/>
            <w:tcBorders>
              <w:top w:val="nil"/>
              <w:left w:val="nil"/>
              <w:bottom w:val="nil"/>
              <w:right w:val="nil"/>
            </w:tcBorders>
            <w:shd w:val="clear" w:color="auto" w:fill="auto"/>
            <w:noWrap/>
            <w:vAlign w:val="center"/>
            <w:hideMark/>
          </w:tcPr>
          <w:p w14:paraId="495B5954"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2,750</w:t>
            </w:r>
          </w:p>
        </w:tc>
        <w:tc>
          <w:tcPr>
            <w:tcW w:w="0" w:type="dxa"/>
            <w:tcBorders>
              <w:top w:val="nil"/>
              <w:left w:val="nil"/>
              <w:bottom w:val="nil"/>
              <w:right w:val="nil"/>
            </w:tcBorders>
            <w:shd w:val="clear" w:color="auto" w:fill="auto"/>
            <w:noWrap/>
            <w:vAlign w:val="center"/>
            <w:hideMark/>
          </w:tcPr>
          <w:p w14:paraId="507EBB17"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0,143</w:t>
            </w:r>
          </w:p>
        </w:tc>
        <w:tc>
          <w:tcPr>
            <w:tcW w:w="0" w:type="dxa"/>
            <w:tcBorders>
              <w:top w:val="nil"/>
              <w:left w:val="nil"/>
              <w:bottom w:val="nil"/>
              <w:right w:val="nil"/>
            </w:tcBorders>
            <w:shd w:val="clear" w:color="auto" w:fill="auto"/>
            <w:noWrap/>
            <w:vAlign w:val="center"/>
            <w:hideMark/>
          </w:tcPr>
          <w:p w14:paraId="28DC3773"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25,105</w:t>
            </w:r>
          </w:p>
        </w:tc>
      </w:tr>
      <w:tr w:rsidR="006B566E" w:rsidRPr="00D87A24" w14:paraId="1C35B05B" w14:textId="77777777" w:rsidTr="00D87A24">
        <w:trPr>
          <w:trHeight w:val="20"/>
          <w:jc w:val="center"/>
        </w:trPr>
        <w:tc>
          <w:tcPr>
            <w:tcW w:w="0" w:type="dxa"/>
            <w:tcBorders>
              <w:top w:val="nil"/>
              <w:left w:val="nil"/>
              <w:right w:val="nil"/>
            </w:tcBorders>
            <w:shd w:val="clear" w:color="auto" w:fill="auto"/>
            <w:noWrap/>
            <w:vAlign w:val="bottom"/>
            <w:hideMark/>
          </w:tcPr>
          <w:p w14:paraId="1D00429A" w14:textId="77777777" w:rsidR="006B566E" w:rsidRPr="00D87A24" w:rsidRDefault="006B566E" w:rsidP="00D87A24">
            <w:pPr>
              <w:keepNext/>
              <w:widowControl/>
              <w:spacing w:line="240" w:lineRule="auto"/>
              <w:jc w:val="left"/>
              <w:rPr>
                <w:rFonts w:ascii="Arial" w:hAnsi="Arial" w:cs="Arial"/>
                <w:color w:val="000000"/>
                <w:sz w:val="16"/>
                <w:szCs w:val="16"/>
              </w:rPr>
            </w:pPr>
            <w:r w:rsidRPr="00D87A24">
              <w:rPr>
                <w:rFonts w:ascii="Arial" w:hAnsi="Arial" w:cs="Arial"/>
                <w:color w:val="000000"/>
                <w:sz w:val="16"/>
                <w:szCs w:val="16"/>
              </w:rPr>
              <w:t>Tamanho (TAM)</w:t>
            </w:r>
          </w:p>
        </w:tc>
        <w:tc>
          <w:tcPr>
            <w:tcW w:w="0" w:type="dxa"/>
            <w:tcBorders>
              <w:top w:val="nil"/>
              <w:left w:val="nil"/>
              <w:right w:val="nil"/>
            </w:tcBorders>
            <w:shd w:val="clear" w:color="auto" w:fill="auto"/>
            <w:noWrap/>
            <w:vAlign w:val="center"/>
            <w:hideMark/>
          </w:tcPr>
          <w:p w14:paraId="2E07C971"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15,463</w:t>
            </w:r>
          </w:p>
        </w:tc>
        <w:tc>
          <w:tcPr>
            <w:tcW w:w="0" w:type="dxa"/>
            <w:tcBorders>
              <w:top w:val="nil"/>
              <w:left w:val="nil"/>
              <w:right w:val="nil"/>
            </w:tcBorders>
            <w:shd w:val="clear" w:color="auto" w:fill="auto"/>
            <w:noWrap/>
            <w:vAlign w:val="center"/>
            <w:hideMark/>
          </w:tcPr>
          <w:p w14:paraId="7BC7B011"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1,912</w:t>
            </w:r>
          </w:p>
        </w:tc>
        <w:tc>
          <w:tcPr>
            <w:tcW w:w="0" w:type="dxa"/>
            <w:tcBorders>
              <w:top w:val="nil"/>
              <w:left w:val="nil"/>
              <w:right w:val="nil"/>
            </w:tcBorders>
            <w:shd w:val="clear" w:color="auto" w:fill="auto"/>
            <w:noWrap/>
            <w:vAlign w:val="center"/>
            <w:hideMark/>
          </w:tcPr>
          <w:p w14:paraId="36BA68F9"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9,590</w:t>
            </w:r>
          </w:p>
        </w:tc>
        <w:tc>
          <w:tcPr>
            <w:tcW w:w="0" w:type="dxa"/>
            <w:tcBorders>
              <w:top w:val="nil"/>
              <w:left w:val="nil"/>
              <w:right w:val="nil"/>
            </w:tcBorders>
            <w:shd w:val="clear" w:color="auto" w:fill="auto"/>
            <w:noWrap/>
            <w:vAlign w:val="center"/>
            <w:hideMark/>
          </w:tcPr>
          <w:p w14:paraId="2859E868" w14:textId="77777777" w:rsidR="006B566E" w:rsidRPr="00D87A24" w:rsidRDefault="006B566E" w:rsidP="00D87A24">
            <w:pPr>
              <w:keepNext/>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21,471</w:t>
            </w:r>
          </w:p>
        </w:tc>
      </w:tr>
      <w:tr w:rsidR="006B566E" w:rsidRPr="00D87A24" w14:paraId="7747C1D4" w14:textId="77777777" w:rsidTr="00D87A24">
        <w:trPr>
          <w:trHeight w:val="20"/>
          <w:jc w:val="center"/>
        </w:trPr>
        <w:tc>
          <w:tcPr>
            <w:tcW w:w="0" w:type="dxa"/>
            <w:tcBorders>
              <w:top w:val="nil"/>
              <w:left w:val="nil"/>
              <w:bottom w:val="single" w:sz="4" w:space="0" w:color="auto"/>
              <w:right w:val="nil"/>
            </w:tcBorders>
            <w:shd w:val="clear" w:color="auto" w:fill="auto"/>
            <w:noWrap/>
            <w:vAlign w:val="bottom"/>
            <w:hideMark/>
          </w:tcPr>
          <w:p w14:paraId="52BB4CFA" w14:textId="77777777" w:rsidR="006B566E" w:rsidRPr="00D87A24" w:rsidRDefault="006B566E" w:rsidP="00D87A24">
            <w:pPr>
              <w:widowControl/>
              <w:spacing w:line="240" w:lineRule="auto"/>
              <w:jc w:val="left"/>
              <w:rPr>
                <w:rFonts w:ascii="Arial" w:hAnsi="Arial" w:cs="Arial"/>
                <w:color w:val="000000"/>
                <w:sz w:val="16"/>
                <w:szCs w:val="16"/>
              </w:rPr>
            </w:pPr>
            <w:r w:rsidRPr="00D87A24">
              <w:rPr>
                <w:rFonts w:ascii="Arial" w:hAnsi="Arial" w:cs="Arial"/>
                <w:color w:val="000000"/>
                <w:sz w:val="16"/>
                <w:szCs w:val="16"/>
              </w:rPr>
              <w:t>Retorno sobre patrimônio líquido (ROE)</w:t>
            </w:r>
          </w:p>
        </w:tc>
        <w:tc>
          <w:tcPr>
            <w:tcW w:w="0" w:type="dxa"/>
            <w:tcBorders>
              <w:top w:val="nil"/>
              <w:left w:val="nil"/>
              <w:bottom w:val="single" w:sz="4" w:space="0" w:color="auto"/>
              <w:right w:val="nil"/>
            </w:tcBorders>
            <w:shd w:val="clear" w:color="auto" w:fill="auto"/>
            <w:noWrap/>
            <w:vAlign w:val="center"/>
            <w:hideMark/>
          </w:tcPr>
          <w:p w14:paraId="7684FC51" w14:textId="77777777" w:rsidR="006B566E" w:rsidRPr="00D87A24" w:rsidRDefault="006B566E" w:rsidP="00D87A24">
            <w:pPr>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0,076</w:t>
            </w:r>
          </w:p>
        </w:tc>
        <w:tc>
          <w:tcPr>
            <w:tcW w:w="0" w:type="dxa"/>
            <w:tcBorders>
              <w:top w:val="nil"/>
              <w:left w:val="nil"/>
              <w:bottom w:val="single" w:sz="4" w:space="0" w:color="auto"/>
              <w:right w:val="nil"/>
            </w:tcBorders>
            <w:shd w:val="clear" w:color="auto" w:fill="auto"/>
            <w:noWrap/>
            <w:vAlign w:val="center"/>
            <w:hideMark/>
          </w:tcPr>
          <w:p w14:paraId="66D0A609" w14:textId="77777777" w:rsidR="006B566E" w:rsidRPr="00D87A24" w:rsidRDefault="006B566E" w:rsidP="00D87A24">
            <w:pPr>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0,292</w:t>
            </w:r>
          </w:p>
        </w:tc>
        <w:tc>
          <w:tcPr>
            <w:tcW w:w="0" w:type="dxa"/>
            <w:tcBorders>
              <w:top w:val="nil"/>
              <w:left w:val="nil"/>
              <w:bottom w:val="single" w:sz="4" w:space="0" w:color="auto"/>
              <w:right w:val="nil"/>
            </w:tcBorders>
            <w:shd w:val="clear" w:color="auto" w:fill="auto"/>
            <w:noWrap/>
            <w:vAlign w:val="center"/>
            <w:hideMark/>
          </w:tcPr>
          <w:p w14:paraId="6D7E95C9" w14:textId="77777777" w:rsidR="006B566E" w:rsidRPr="00D87A24" w:rsidRDefault="006B566E" w:rsidP="00D87A24">
            <w:pPr>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-2,479</w:t>
            </w:r>
          </w:p>
        </w:tc>
        <w:tc>
          <w:tcPr>
            <w:tcW w:w="0" w:type="dxa"/>
            <w:tcBorders>
              <w:top w:val="nil"/>
              <w:left w:val="nil"/>
              <w:bottom w:val="single" w:sz="4" w:space="0" w:color="auto"/>
              <w:right w:val="nil"/>
            </w:tcBorders>
            <w:shd w:val="clear" w:color="auto" w:fill="auto"/>
            <w:noWrap/>
            <w:vAlign w:val="center"/>
            <w:hideMark/>
          </w:tcPr>
          <w:p w14:paraId="2C453D27" w14:textId="77777777" w:rsidR="006B566E" w:rsidRPr="00D87A24" w:rsidRDefault="006B566E" w:rsidP="00D87A24">
            <w:pPr>
              <w:widowControl/>
              <w:spacing w:line="240" w:lineRule="auto"/>
              <w:jc w:val="center"/>
              <w:rPr>
                <w:rFonts w:ascii="Arial" w:hAnsi="Arial" w:cs="Arial"/>
                <w:color w:val="000000"/>
                <w:sz w:val="16"/>
                <w:szCs w:val="16"/>
              </w:rPr>
            </w:pPr>
            <w:r w:rsidRPr="00D87A24">
              <w:rPr>
                <w:rFonts w:ascii="Arial" w:eastAsia="Calibri" w:hAnsi="Arial" w:cs="Arial"/>
                <w:color w:val="000000"/>
                <w:sz w:val="16"/>
                <w:szCs w:val="16"/>
                <w:lang w:eastAsia="en-US"/>
              </w:rPr>
              <w:t>2,072</w:t>
            </w:r>
          </w:p>
        </w:tc>
      </w:tr>
    </w:tbl>
    <w:p w14:paraId="16E3D8DB" w14:textId="77777777" w:rsidR="006B566E" w:rsidRPr="00EF5108" w:rsidRDefault="006B566E" w:rsidP="00EF5108">
      <w:pPr>
        <w:widowControl/>
        <w:spacing w:before="240" w:after="240" w:line="240" w:lineRule="auto"/>
        <w:ind w:firstLine="709"/>
        <w:rPr>
          <w:rFonts w:ascii="Arial" w:eastAsia="Calibri" w:hAnsi="Arial" w:cs="Arial"/>
          <w:sz w:val="18"/>
          <w:szCs w:val="18"/>
          <w:lang w:eastAsia="en-US"/>
        </w:rPr>
      </w:pPr>
      <w:r w:rsidRPr="00EF5108">
        <w:rPr>
          <w:rFonts w:ascii="Arial" w:eastAsia="Calibri" w:hAnsi="Arial" w:cs="Arial"/>
          <w:sz w:val="18"/>
          <w:szCs w:val="18"/>
          <w:lang w:eastAsia="en-US"/>
        </w:rPr>
        <w:lastRenderedPageBreak/>
        <w:t>Na Tabela 6 é apresentada a matriz de correlação entre as variáveis métricas utilizadas nas estimações. Observa-se que, dentre as características da administração, a remuneração da diretoria executiva, a avaliação dos administradores e a separação entre os órgãos da administração estão positiva e significativamente correlacionadas com o valor da empresa. Entre as variáveis indicativas das características da administração a correlação é nula, uma vez que os fatores resultantes da análise de componentes principais são ortogonais entre si.</w:t>
      </w:r>
    </w:p>
    <w:p w14:paraId="3E030055" w14:textId="77777777" w:rsidR="006B566E" w:rsidRPr="006B566E" w:rsidRDefault="006B566E" w:rsidP="006B566E">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6</w:t>
      </w:r>
    </w:p>
    <w:p w14:paraId="14308E41" w14:textId="77777777" w:rsidR="006B566E" w:rsidRPr="006B566E" w:rsidRDefault="006B566E" w:rsidP="006B566E">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Matriz de correlação entre as variáveis métricas</w:t>
      </w:r>
      <w:r w:rsidR="00EF5108">
        <w:rPr>
          <w:rFonts w:ascii="Arial" w:hAnsi="Arial" w:cs="Arial"/>
          <w:bCs/>
          <w:sz w:val="18"/>
          <w:szCs w:val="18"/>
          <w:lang w:eastAsia="en-US"/>
        </w:rPr>
        <w:t>.</w:t>
      </w:r>
    </w:p>
    <w:tbl>
      <w:tblPr>
        <w:tblW w:w="7938" w:type="dxa"/>
        <w:jc w:val="center"/>
        <w:tblCellMar>
          <w:left w:w="70" w:type="dxa"/>
          <w:right w:w="70" w:type="dxa"/>
        </w:tblCellMar>
        <w:tblLook w:val="04A0" w:firstRow="1" w:lastRow="0" w:firstColumn="1" w:lastColumn="0" w:noHBand="0" w:noVBand="1"/>
      </w:tblPr>
      <w:tblGrid>
        <w:gridCol w:w="1211"/>
        <w:gridCol w:w="648"/>
        <w:gridCol w:w="362"/>
        <w:gridCol w:w="647"/>
        <w:gridCol w:w="361"/>
        <w:gridCol w:w="647"/>
        <w:gridCol w:w="195"/>
        <w:gridCol w:w="738"/>
        <w:gridCol w:w="222"/>
        <w:gridCol w:w="647"/>
        <w:gridCol w:w="195"/>
        <w:gridCol w:w="647"/>
        <w:gridCol w:w="195"/>
        <w:gridCol w:w="939"/>
        <w:gridCol w:w="284"/>
      </w:tblGrid>
      <w:tr w:rsidR="006B566E" w:rsidRPr="00493718" w14:paraId="41E49798" w14:textId="77777777" w:rsidTr="00493718">
        <w:trPr>
          <w:trHeight w:val="64"/>
          <w:jc w:val="center"/>
        </w:trPr>
        <w:tc>
          <w:tcPr>
            <w:tcW w:w="0" w:type="dxa"/>
            <w:tcBorders>
              <w:top w:val="single" w:sz="4" w:space="0" w:color="auto"/>
              <w:left w:val="nil"/>
              <w:bottom w:val="single" w:sz="4" w:space="0" w:color="auto"/>
              <w:right w:val="nil"/>
            </w:tcBorders>
            <w:shd w:val="clear" w:color="auto" w:fill="auto"/>
            <w:noWrap/>
            <w:vAlign w:val="bottom"/>
            <w:hideMark/>
          </w:tcPr>
          <w:p w14:paraId="25CE1122" w14:textId="77777777" w:rsidR="006B566E" w:rsidRPr="00493718" w:rsidRDefault="006B566E" w:rsidP="00493718">
            <w:pPr>
              <w:keepNext/>
              <w:widowControl/>
              <w:spacing w:line="240" w:lineRule="auto"/>
              <w:jc w:val="left"/>
              <w:rPr>
                <w:rFonts w:ascii="Arial" w:hAnsi="Arial" w:cs="Arial"/>
                <w:b/>
                <w:bCs/>
                <w:color w:val="000000"/>
                <w:sz w:val="16"/>
                <w:szCs w:val="16"/>
              </w:rPr>
            </w:pPr>
            <w:r w:rsidRPr="00493718">
              <w:rPr>
                <w:rFonts w:ascii="Arial" w:hAnsi="Arial" w:cs="Arial"/>
                <w:b/>
                <w:bCs/>
                <w:color w:val="000000"/>
                <w:sz w:val="16"/>
                <w:szCs w:val="16"/>
              </w:rPr>
              <w:t> </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6D73FDB2"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MB</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15D88649"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TAM</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2EA4524C"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ROE</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70F5F4CA"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REMDE</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26BCD8A7"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INDEP</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35D04E78"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AVAL</w:t>
            </w:r>
          </w:p>
        </w:tc>
        <w:tc>
          <w:tcPr>
            <w:tcW w:w="0" w:type="dxa"/>
            <w:gridSpan w:val="2"/>
            <w:tcBorders>
              <w:top w:val="single" w:sz="4" w:space="0" w:color="auto"/>
              <w:left w:val="nil"/>
              <w:bottom w:val="single" w:sz="4" w:space="0" w:color="auto"/>
              <w:right w:val="nil"/>
            </w:tcBorders>
            <w:shd w:val="clear" w:color="auto" w:fill="auto"/>
            <w:noWrap/>
            <w:vAlign w:val="center"/>
            <w:hideMark/>
          </w:tcPr>
          <w:p w14:paraId="135F163B" w14:textId="77777777" w:rsidR="006B566E" w:rsidRPr="00493718" w:rsidRDefault="006B566E" w:rsidP="00493718">
            <w:pPr>
              <w:keepNext/>
              <w:widowControl/>
              <w:spacing w:line="240" w:lineRule="auto"/>
              <w:jc w:val="center"/>
              <w:rPr>
                <w:rFonts w:ascii="Arial" w:hAnsi="Arial" w:cs="Arial"/>
                <w:b/>
                <w:bCs/>
                <w:color w:val="000000"/>
                <w:sz w:val="16"/>
                <w:szCs w:val="16"/>
              </w:rPr>
            </w:pPr>
            <w:r w:rsidRPr="00493718">
              <w:rPr>
                <w:rFonts w:ascii="Arial" w:hAnsi="Arial" w:cs="Arial"/>
                <w:b/>
                <w:bCs/>
                <w:color w:val="000000"/>
                <w:sz w:val="16"/>
                <w:szCs w:val="16"/>
              </w:rPr>
              <w:t>SEPCADE</w:t>
            </w:r>
          </w:p>
        </w:tc>
      </w:tr>
      <w:tr w:rsidR="006B566E" w:rsidRPr="004064C8" w14:paraId="1016C552" w14:textId="77777777" w:rsidTr="00493718">
        <w:trPr>
          <w:trHeight w:val="20"/>
          <w:jc w:val="center"/>
        </w:trPr>
        <w:tc>
          <w:tcPr>
            <w:tcW w:w="0" w:type="dxa"/>
            <w:tcBorders>
              <w:top w:val="nil"/>
              <w:left w:val="nil"/>
              <w:bottom w:val="nil"/>
              <w:right w:val="nil"/>
            </w:tcBorders>
            <w:shd w:val="clear" w:color="auto" w:fill="auto"/>
            <w:noWrap/>
            <w:vAlign w:val="bottom"/>
            <w:hideMark/>
          </w:tcPr>
          <w:p w14:paraId="79988AF7"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TAM</w:t>
            </w:r>
          </w:p>
        </w:tc>
        <w:tc>
          <w:tcPr>
            <w:tcW w:w="0" w:type="dxa"/>
            <w:tcBorders>
              <w:top w:val="nil"/>
              <w:left w:val="nil"/>
              <w:bottom w:val="nil"/>
              <w:right w:val="nil"/>
            </w:tcBorders>
            <w:shd w:val="clear" w:color="auto" w:fill="auto"/>
            <w:noWrap/>
            <w:vAlign w:val="center"/>
            <w:hideMark/>
          </w:tcPr>
          <w:p w14:paraId="6C182362"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0,014</w:t>
            </w:r>
          </w:p>
        </w:tc>
        <w:tc>
          <w:tcPr>
            <w:tcW w:w="0" w:type="dxa"/>
            <w:tcBorders>
              <w:top w:val="nil"/>
              <w:left w:val="nil"/>
              <w:bottom w:val="nil"/>
              <w:right w:val="nil"/>
            </w:tcBorders>
            <w:shd w:val="clear" w:color="auto" w:fill="auto"/>
            <w:noWrap/>
            <w:vAlign w:val="center"/>
            <w:hideMark/>
          </w:tcPr>
          <w:p w14:paraId="751257F7"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5BC59830"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466C5436"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44E76F3D"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7DA345E8"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7BBDD1CF"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C26EE35"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C8D3268"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0FD3A0BE"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44CA4E26"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2024D954"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40B236F8"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0FF39E90"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6F7DCA6D" w14:textId="77777777" w:rsidTr="00493718">
        <w:trPr>
          <w:trHeight w:val="20"/>
          <w:jc w:val="center"/>
        </w:trPr>
        <w:tc>
          <w:tcPr>
            <w:tcW w:w="0" w:type="dxa"/>
            <w:tcBorders>
              <w:top w:val="nil"/>
              <w:left w:val="nil"/>
              <w:bottom w:val="nil"/>
              <w:right w:val="nil"/>
            </w:tcBorders>
            <w:shd w:val="clear" w:color="auto" w:fill="auto"/>
            <w:noWrap/>
            <w:vAlign w:val="bottom"/>
            <w:hideMark/>
          </w:tcPr>
          <w:p w14:paraId="549C8772"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ROE</w:t>
            </w:r>
          </w:p>
        </w:tc>
        <w:tc>
          <w:tcPr>
            <w:tcW w:w="0" w:type="dxa"/>
            <w:tcBorders>
              <w:top w:val="nil"/>
              <w:left w:val="nil"/>
              <w:bottom w:val="nil"/>
              <w:right w:val="nil"/>
            </w:tcBorders>
            <w:shd w:val="clear" w:color="auto" w:fill="auto"/>
            <w:noWrap/>
            <w:vAlign w:val="center"/>
            <w:hideMark/>
          </w:tcPr>
          <w:p w14:paraId="14050426"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-0,088</w:t>
            </w:r>
          </w:p>
        </w:tc>
        <w:tc>
          <w:tcPr>
            <w:tcW w:w="0" w:type="dxa"/>
            <w:tcBorders>
              <w:top w:val="nil"/>
              <w:left w:val="nil"/>
              <w:bottom w:val="nil"/>
              <w:right w:val="nil"/>
            </w:tcBorders>
            <w:shd w:val="clear" w:color="auto" w:fill="auto"/>
            <w:noWrap/>
            <w:vAlign w:val="center"/>
            <w:hideMark/>
          </w:tcPr>
          <w:p w14:paraId="1F7CD037"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eastAsia="Calibri" w:hAnsi="Arial" w:cs="Arial"/>
                <w:color w:val="000000"/>
                <w:sz w:val="16"/>
                <w:szCs w:val="16"/>
                <w:lang w:eastAsia="en-US"/>
              </w:rPr>
              <w:t>**</w:t>
            </w:r>
          </w:p>
        </w:tc>
        <w:tc>
          <w:tcPr>
            <w:tcW w:w="0" w:type="dxa"/>
            <w:tcBorders>
              <w:top w:val="nil"/>
              <w:left w:val="nil"/>
              <w:bottom w:val="nil"/>
              <w:right w:val="nil"/>
            </w:tcBorders>
            <w:shd w:val="clear" w:color="auto" w:fill="auto"/>
            <w:noWrap/>
            <w:vAlign w:val="center"/>
            <w:hideMark/>
          </w:tcPr>
          <w:p w14:paraId="124CA07B"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0,134</w:t>
            </w:r>
          </w:p>
        </w:tc>
        <w:tc>
          <w:tcPr>
            <w:tcW w:w="0" w:type="dxa"/>
            <w:tcBorders>
              <w:top w:val="nil"/>
              <w:left w:val="nil"/>
              <w:bottom w:val="nil"/>
              <w:right w:val="nil"/>
            </w:tcBorders>
            <w:shd w:val="clear" w:color="auto" w:fill="auto"/>
            <w:noWrap/>
            <w:vAlign w:val="center"/>
            <w:hideMark/>
          </w:tcPr>
          <w:p w14:paraId="20B541A3"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64A3D178"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7BA7DED4"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721C5CFB"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4527EDAA"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27D55C90"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F4CD6EE"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01DE4168"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467FD732"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16F7DA5"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1D3403AD"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23113E21" w14:textId="77777777" w:rsidTr="00493718">
        <w:trPr>
          <w:trHeight w:val="20"/>
          <w:jc w:val="center"/>
        </w:trPr>
        <w:tc>
          <w:tcPr>
            <w:tcW w:w="0" w:type="dxa"/>
            <w:tcBorders>
              <w:top w:val="nil"/>
              <w:left w:val="nil"/>
              <w:bottom w:val="nil"/>
              <w:right w:val="nil"/>
            </w:tcBorders>
            <w:shd w:val="clear" w:color="auto" w:fill="auto"/>
            <w:noWrap/>
            <w:vAlign w:val="bottom"/>
            <w:hideMark/>
          </w:tcPr>
          <w:p w14:paraId="47CBBBD9"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REMDE</w:t>
            </w:r>
          </w:p>
        </w:tc>
        <w:tc>
          <w:tcPr>
            <w:tcW w:w="0" w:type="dxa"/>
            <w:tcBorders>
              <w:top w:val="nil"/>
              <w:left w:val="nil"/>
              <w:bottom w:val="nil"/>
              <w:right w:val="nil"/>
            </w:tcBorders>
            <w:shd w:val="clear" w:color="auto" w:fill="auto"/>
            <w:noWrap/>
            <w:vAlign w:val="center"/>
            <w:hideMark/>
          </w:tcPr>
          <w:p w14:paraId="6DF23E3C"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0,117</w:t>
            </w:r>
          </w:p>
        </w:tc>
        <w:tc>
          <w:tcPr>
            <w:tcW w:w="0" w:type="dxa"/>
            <w:tcBorders>
              <w:top w:val="nil"/>
              <w:left w:val="nil"/>
              <w:bottom w:val="nil"/>
              <w:right w:val="nil"/>
            </w:tcBorders>
            <w:shd w:val="clear" w:color="auto" w:fill="auto"/>
            <w:noWrap/>
            <w:vAlign w:val="center"/>
            <w:hideMark/>
          </w:tcPr>
          <w:p w14:paraId="014A6BCD"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eastAsia="Calibri" w:hAnsi="Arial" w:cs="Arial"/>
                <w:color w:val="000000"/>
                <w:sz w:val="16"/>
                <w:szCs w:val="16"/>
                <w:lang w:eastAsia="en-US"/>
              </w:rPr>
              <w:t>***</w:t>
            </w:r>
          </w:p>
        </w:tc>
        <w:tc>
          <w:tcPr>
            <w:tcW w:w="0" w:type="dxa"/>
            <w:tcBorders>
              <w:top w:val="nil"/>
              <w:left w:val="nil"/>
              <w:bottom w:val="nil"/>
              <w:right w:val="nil"/>
            </w:tcBorders>
            <w:shd w:val="clear" w:color="auto" w:fill="auto"/>
            <w:noWrap/>
            <w:vAlign w:val="center"/>
            <w:hideMark/>
          </w:tcPr>
          <w:p w14:paraId="1F164F72"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0,415</w:t>
            </w:r>
          </w:p>
        </w:tc>
        <w:tc>
          <w:tcPr>
            <w:tcW w:w="0" w:type="dxa"/>
            <w:tcBorders>
              <w:top w:val="nil"/>
              <w:left w:val="nil"/>
              <w:bottom w:val="nil"/>
              <w:right w:val="nil"/>
            </w:tcBorders>
            <w:shd w:val="clear" w:color="auto" w:fill="auto"/>
            <w:noWrap/>
            <w:vAlign w:val="center"/>
            <w:hideMark/>
          </w:tcPr>
          <w:p w14:paraId="35F29631"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3678A99C"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0,071</w:t>
            </w:r>
          </w:p>
        </w:tc>
        <w:tc>
          <w:tcPr>
            <w:tcW w:w="0" w:type="dxa"/>
            <w:tcBorders>
              <w:top w:val="nil"/>
              <w:left w:val="nil"/>
              <w:bottom w:val="nil"/>
              <w:right w:val="nil"/>
            </w:tcBorders>
            <w:shd w:val="clear" w:color="auto" w:fill="auto"/>
            <w:noWrap/>
            <w:vAlign w:val="center"/>
            <w:hideMark/>
          </w:tcPr>
          <w:p w14:paraId="4E0F92B3"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467BAC6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1190C66E"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7A191E7C"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0B3618D"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6CB22447"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0926B1A1"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2C792E74"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3FF7DE20"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1820A10C" w14:textId="77777777" w:rsidTr="00493718">
        <w:trPr>
          <w:trHeight w:val="20"/>
          <w:jc w:val="center"/>
        </w:trPr>
        <w:tc>
          <w:tcPr>
            <w:tcW w:w="0" w:type="dxa"/>
            <w:tcBorders>
              <w:top w:val="nil"/>
              <w:left w:val="nil"/>
              <w:bottom w:val="nil"/>
              <w:right w:val="nil"/>
            </w:tcBorders>
            <w:shd w:val="clear" w:color="auto" w:fill="auto"/>
            <w:noWrap/>
            <w:vAlign w:val="bottom"/>
            <w:hideMark/>
          </w:tcPr>
          <w:p w14:paraId="67893CEC"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INDEP</w:t>
            </w:r>
          </w:p>
        </w:tc>
        <w:tc>
          <w:tcPr>
            <w:tcW w:w="0" w:type="dxa"/>
            <w:tcBorders>
              <w:top w:val="nil"/>
              <w:left w:val="nil"/>
              <w:bottom w:val="nil"/>
              <w:right w:val="nil"/>
            </w:tcBorders>
            <w:shd w:val="clear" w:color="auto" w:fill="auto"/>
            <w:noWrap/>
            <w:vAlign w:val="center"/>
            <w:hideMark/>
          </w:tcPr>
          <w:p w14:paraId="16F307C6"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-0,030</w:t>
            </w:r>
          </w:p>
        </w:tc>
        <w:tc>
          <w:tcPr>
            <w:tcW w:w="0" w:type="dxa"/>
            <w:tcBorders>
              <w:top w:val="nil"/>
              <w:left w:val="nil"/>
              <w:bottom w:val="nil"/>
              <w:right w:val="nil"/>
            </w:tcBorders>
            <w:shd w:val="clear" w:color="auto" w:fill="auto"/>
            <w:noWrap/>
            <w:vAlign w:val="center"/>
            <w:hideMark/>
          </w:tcPr>
          <w:p w14:paraId="047DE8D6"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6D5A0C2B"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-0,012</w:t>
            </w:r>
          </w:p>
        </w:tc>
        <w:tc>
          <w:tcPr>
            <w:tcW w:w="0" w:type="dxa"/>
            <w:tcBorders>
              <w:top w:val="nil"/>
              <w:left w:val="nil"/>
              <w:bottom w:val="nil"/>
              <w:right w:val="nil"/>
            </w:tcBorders>
            <w:shd w:val="clear" w:color="auto" w:fill="auto"/>
            <w:noWrap/>
            <w:vAlign w:val="center"/>
            <w:hideMark/>
          </w:tcPr>
          <w:p w14:paraId="3291B0D4"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1A397B6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-0,063</w:t>
            </w:r>
          </w:p>
        </w:tc>
        <w:tc>
          <w:tcPr>
            <w:tcW w:w="0" w:type="dxa"/>
            <w:tcBorders>
              <w:top w:val="nil"/>
              <w:left w:val="nil"/>
              <w:bottom w:val="nil"/>
              <w:right w:val="nil"/>
            </w:tcBorders>
            <w:shd w:val="clear" w:color="auto" w:fill="auto"/>
            <w:noWrap/>
            <w:vAlign w:val="center"/>
            <w:hideMark/>
          </w:tcPr>
          <w:p w14:paraId="2A3EDADB"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485EDA4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79E7A928"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4751508D"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158C1627"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3A3AA358"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76994440"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70DC50EB"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4F19495F"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3F1E493F" w14:textId="77777777" w:rsidTr="00493718">
        <w:trPr>
          <w:trHeight w:val="20"/>
          <w:jc w:val="center"/>
        </w:trPr>
        <w:tc>
          <w:tcPr>
            <w:tcW w:w="0" w:type="dxa"/>
            <w:tcBorders>
              <w:top w:val="nil"/>
              <w:left w:val="nil"/>
              <w:bottom w:val="nil"/>
              <w:right w:val="nil"/>
            </w:tcBorders>
            <w:shd w:val="clear" w:color="auto" w:fill="auto"/>
            <w:noWrap/>
            <w:vAlign w:val="bottom"/>
            <w:hideMark/>
          </w:tcPr>
          <w:p w14:paraId="36CF138A"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AVAL</w:t>
            </w:r>
          </w:p>
        </w:tc>
        <w:tc>
          <w:tcPr>
            <w:tcW w:w="0" w:type="dxa"/>
            <w:tcBorders>
              <w:top w:val="nil"/>
              <w:left w:val="nil"/>
              <w:bottom w:val="nil"/>
              <w:right w:val="nil"/>
            </w:tcBorders>
            <w:shd w:val="clear" w:color="auto" w:fill="auto"/>
            <w:noWrap/>
            <w:vAlign w:val="center"/>
            <w:hideMark/>
          </w:tcPr>
          <w:p w14:paraId="412D683B"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0,167</w:t>
            </w:r>
          </w:p>
        </w:tc>
        <w:tc>
          <w:tcPr>
            <w:tcW w:w="0" w:type="dxa"/>
            <w:tcBorders>
              <w:top w:val="nil"/>
              <w:left w:val="nil"/>
              <w:bottom w:val="nil"/>
              <w:right w:val="nil"/>
            </w:tcBorders>
            <w:shd w:val="clear" w:color="auto" w:fill="auto"/>
            <w:noWrap/>
            <w:vAlign w:val="center"/>
            <w:hideMark/>
          </w:tcPr>
          <w:p w14:paraId="060463C6"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eastAsia="Calibri" w:hAnsi="Arial" w:cs="Arial"/>
                <w:color w:val="000000"/>
                <w:sz w:val="16"/>
                <w:szCs w:val="16"/>
                <w:lang w:eastAsia="en-US"/>
              </w:rPr>
              <w:t>***</w:t>
            </w:r>
          </w:p>
        </w:tc>
        <w:tc>
          <w:tcPr>
            <w:tcW w:w="0" w:type="dxa"/>
            <w:tcBorders>
              <w:top w:val="nil"/>
              <w:left w:val="nil"/>
              <w:bottom w:val="nil"/>
              <w:right w:val="nil"/>
            </w:tcBorders>
            <w:shd w:val="clear" w:color="auto" w:fill="auto"/>
            <w:noWrap/>
            <w:vAlign w:val="center"/>
            <w:hideMark/>
          </w:tcPr>
          <w:p w14:paraId="71744937"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0,265</w:t>
            </w:r>
          </w:p>
        </w:tc>
        <w:tc>
          <w:tcPr>
            <w:tcW w:w="0" w:type="dxa"/>
            <w:tcBorders>
              <w:top w:val="nil"/>
              <w:left w:val="nil"/>
              <w:bottom w:val="nil"/>
              <w:right w:val="nil"/>
            </w:tcBorders>
            <w:shd w:val="clear" w:color="auto" w:fill="auto"/>
            <w:noWrap/>
            <w:vAlign w:val="center"/>
            <w:hideMark/>
          </w:tcPr>
          <w:p w14:paraId="1529BC38"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7D265FEB"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0,016</w:t>
            </w:r>
          </w:p>
        </w:tc>
        <w:tc>
          <w:tcPr>
            <w:tcW w:w="0" w:type="dxa"/>
            <w:tcBorders>
              <w:top w:val="nil"/>
              <w:left w:val="nil"/>
              <w:bottom w:val="nil"/>
              <w:right w:val="nil"/>
            </w:tcBorders>
            <w:shd w:val="clear" w:color="auto" w:fill="auto"/>
            <w:noWrap/>
            <w:vAlign w:val="center"/>
            <w:hideMark/>
          </w:tcPr>
          <w:p w14:paraId="443AC7B0"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1E0B7498"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3884B3E6"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55F65FBC"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67C39FB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56D20E75"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53819171"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center"/>
            <w:hideMark/>
          </w:tcPr>
          <w:p w14:paraId="2CB58E51"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4C219357"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47FCC9BB" w14:textId="77777777" w:rsidTr="00493718">
        <w:trPr>
          <w:trHeight w:val="20"/>
          <w:jc w:val="center"/>
        </w:trPr>
        <w:tc>
          <w:tcPr>
            <w:tcW w:w="0" w:type="dxa"/>
            <w:tcBorders>
              <w:top w:val="nil"/>
              <w:left w:val="nil"/>
              <w:bottom w:val="nil"/>
              <w:right w:val="nil"/>
            </w:tcBorders>
            <w:shd w:val="clear" w:color="auto" w:fill="auto"/>
            <w:noWrap/>
            <w:vAlign w:val="bottom"/>
            <w:hideMark/>
          </w:tcPr>
          <w:p w14:paraId="07ECCB29"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SEPCADE</w:t>
            </w:r>
          </w:p>
        </w:tc>
        <w:tc>
          <w:tcPr>
            <w:tcW w:w="0" w:type="dxa"/>
            <w:tcBorders>
              <w:top w:val="nil"/>
              <w:left w:val="nil"/>
              <w:bottom w:val="nil"/>
              <w:right w:val="nil"/>
            </w:tcBorders>
            <w:shd w:val="clear" w:color="auto" w:fill="auto"/>
            <w:noWrap/>
            <w:vAlign w:val="center"/>
            <w:hideMark/>
          </w:tcPr>
          <w:p w14:paraId="223A8C22"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0,104</w:t>
            </w:r>
          </w:p>
        </w:tc>
        <w:tc>
          <w:tcPr>
            <w:tcW w:w="0" w:type="dxa"/>
            <w:tcBorders>
              <w:top w:val="nil"/>
              <w:left w:val="nil"/>
              <w:bottom w:val="nil"/>
              <w:right w:val="nil"/>
            </w:tcBorders>
            <w:shd w:val="clear" w:color="auto" w:fill="auto"/>
            <w:noWrap/>
            <w:vAlign w:val="center"/>
            <w:hideMark/>
          </w:tcPr>
          <w:p w14:paraId="3B1EBC95"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eastAsia="Calibri" w:hAnsi="Arial" w:cs="Arial"/>
                <w:color w:val="000000"/>
                <w:sz w:val="16"/>
                <w:szCs w:val="16"/>
                <w:lang w:eastAsia="en-US"/>
              </w:rPr>
              <w:t>***</w:t>
            </w:r>
          </w:p>
        </w:tc>
        <w:tc>
          <w:tcPr>
            <w:tcW w:w="0" w:type="dxa"/>
            <w:tcBorders>
              <w:top w:val="nil"/>
              <w:left w:val="nil"/>
              <w:bottom w:val="nil"/>
              <w:right w:val="nil"/>
            </w:tcBorders>
            <w:shd w:val="clear" w:color="auto" w:fill="auto"/>
            <w:noWrap/>
            <w:vAlign w:val="center"/>
            <w:hideMark/>
          </w:tcPr>
          <w:p w14:paraId="25357DDE"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0,082</w:t>
            </w:r>
          </w:p>
        </w:tc>
        <w:tc>
          <w:tcPr>
            <w:tcW w:w="0" w:type="dxa"/>
            <w:tcBorders>
              <w:top w:val="nil"/>
              <w:left w:val="nil"/>
              <w:bottom w:val="nil"/>
              <w:right w:val="nil"/>
            </w:tcBorders>
            <w:shd w:val="clear" w:color="auto" w:fill="auto"/>
            <w:noWrap/>
            <w:vAlign w:val="center"/>
            <w:hideMark/>
          </w:tcPr>
          <w:p w14:paraId="102A6A0B"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4632EAE8"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-0,064</w:t>
            </w:r>
          </w:p>
        </w:tc>
        <w:tc>
          <w:tcPr>
            <w:tcW w:w="0" w:type="dxa"/>
            <w:tcBorders>
              <w:top w:val="nil"/>
              <w:left w:val="nil"/>
              <w:bottom w:val="nil"/>
              <w:right w:val="nil"/>
            </w:tcBorders>
            <w:shd w:val="clear" w:color="auto" w:fill="auto"/>
            <w:noWrap/>
            <w:vAlign w:val="center"/>
            <w:hideMark/>
          </w:tcPr>
          <w:p w14:paraId="2A6AA7FD"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nil"/>
              <w:right w:val="nil"/>
            </w:tcBorders>
            <w:shd w:val="clear" w:color="auto" w:fill="auto"/>
            <w:noWrap/>
            <w:vAlign w:val="center"/>
            <w:hideMark/>
          </w:tcPr>
          <w:p w14:paraId="58BB695A"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28C596BC"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3F34797F"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5B25D6C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55AC66E1"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nil"/>
              <w:right w:val="nil"/>
            </w:tcBorders>
            <w:shd w:val="clear" w:color="auto" w:fill="auto"/>
            <w:noWrap/>
            <w:vAlign w:val="center"/>
            <w:hideMark/>
          </w:tcPr>
          <w:p w14:paraId="51F3AB7D"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nil"/>
              <w:right w:val="nil"/>
            </w:tcBorders>
            <w:shd w:val="clear" w:color="auto" w:fill="auto"/>
            <w:noWrap/>
            <w:vAlign w:val="center"/>
            <w:hideMark/>
          </w:tcPr>
          <w:p w14:paraId="0C06CDE1" w14:textId="77777777" w:rsidR="006B566E" w:rsidRPr="004064C8" w:rsidRDefault="006B566E" w:rsidP="00D428F4">
            <w:pPr>
              <w:keepNext/>
              <w:widowControl/>
              <w:spacing w:line="240" w:lineRule="auto"/>
              <w:ind w:left="-57" w:right="-57"/>
              <w:jc w:val="right"/>
              <w:rPr>
                <w:rFonts w:ascii="Arial" w:hAnsi="Arial" w:cs="Arial"/>
                <w:sz w:val="16"/>
                <w:szCs w:val="16"/>
              </w:rPr>
            </w:pPr>
          </w:p>
        </w:tc>
        <w:tc>
          <w:tcPr>
            <w:tcW w:w="0" w:type="dxa"/>
            <w:tcBorders>
              <w:top w:val="nil"/>
              <w:left w:val="nil"/>
              <w:bottom w:val="nil"/>
              <w:right w:val="nil"/>
            </w:tcBorders>
            <w:shd w:val="clear" w:color="auto" w:fill="auto"/>
            <w:noWrap/>
            <w:vAlign w:val="bottom"/>
            <w:hideMark/>
          </w:tcPr>
          <w:p w14:paraId="7C14E0B0" w14:textId="77777777" w:rsidR="006B566E" w:rsidRPr="004064C8" w:rsidRDefault="006B566E" w:rsidP="00D428F4">
            <w:pPr>
              <w:keepNext/>
              <w:widowControl/>
              <w:spacing w:line="240" w:lineRule="auto"/>
              <w:ind w:left="-57" w:right="-57"/>
              <w:jc w:val="right"/>
              <w:rPr>
                <w:rFonts w:ascii="Arial" w:hAnsi="Arial" w:cs="Arial"/>
                <w:sz w:val="16"/>
                <w:szCs w:val="16"/>
              </w:rPr>
            </w:pPr>
          </w:p>
        </w:tc>
      </w:tr>
      <w:tr w:rsidR="006B566E" w:rsidRPr="004064C8" w14:paraId="30004952" w14:textId="77777777" w:rsidTr="00493718">
        <w:trPr>
          <w:trHeight w:val="20"/>
          <w:jc w:val="center"/>
        </w:trPr>
        <w:tc>
          <w:tcPr>
            <w:tcW w:w="0" w:type="dxa"/>
            <w:tcBorders>
              <w:top w:val="nil"/>
              <w:left w:val="nil"/>
              <w:bottom w:val="single" w:sz="4" w:space="0" w:color="auto"/>
              <w:right w:val="nil"/>
            </w:tcBorders>
            <w:shd w:val="clear" w:color="auto" w:fill="auto"/>
            <w:noWrap/>
            <w:vAlign w:val="bottom"/>
            <w:hideMark/>
          </w:tcPr>
          <w:p w14:paraId="47D3E645" w14:textId="77777777" w:rsidR="006B566E" w:rsidRPr="00493718" w:rsidRDefault="006B566E" w:rsidP="00493718">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REMCA</w:t>
            </w:r>
          </w:p>
        </w:tc>
        <w:tc>
          <w:tcPr>
            <w:tcW w:w="0" w:type="dxa"/>
            <w:tcBorders>
              <w:top w:val="nil"/>
              <w:left w:val="nil"/>
              <w:bottom w:val="single" w:sz="4" w:space="0" w:color="auto"/>
              <w:right w:val="nil"/>
            </w:tcBorders>
            <w:shd w:val="clear" w:color="auto" w:fill="auto"/>
            <w:noWrap/>
            <w:vAlign w:val="center"/>
            <w:hideMark/>
          </w:tcPr>
          <w:p w14:paraId="2735CF04"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-0,028</w:t>
            </w:r>
          </w:p>
        </w:tc>
        <w:tc>
          <w:tcPr>
            <w:tcW w:w="0" w:type="dxa"/>
            <w:tcBorders>
              <w:top w:val="nil"/>
              <w:left w:val="nil"/>
              <w:bottom w:val="single" w:sz="4" w:space="0" w:color="auto"/>
              <w:right w:val="nil"/>
            </w:tcBorders>
            <w:shd w:val="clear" w:color="auto" w:fill="auto"/>
            <w:noWrap/>
            <w:vAlign w:val="center"/>
            <w:hideMark/>
          </w:tcPr>
          <w:p w14:paraId="5653A026"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single" w:sz="4" w:space="0" w:color="auto"/>
              <w:right w:val="nil"/>
            </w:tcBorders>
            <w:shd w:val="clear" w:color="auto" w:fill="auto"/>
            <w:noWrap/>
            <w:vAlign w:val="center"/>
            <w:hideMark/>
          </w:tcPr>
          <w:p w14:paraId="6133A785"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0,063</w:t>
            </w:r>
          </w:p>
        </w:tc>
        <w:tc>
          <w:tcPr>
            <w:tcW w:w="0" w:type="dxa"/>
            <w:tcBorders>
              <w:top w:val="nil"/>
              <w:left w:val="nil"/>
              <w:bottom w:val="single" w:sz="4" w:space="0" w:color="auto"/>
              <w:right w:val="nil"/>
            </w:tcBorders>
            <w:shd w:val="clear" w:color="auto" w:fill="auto"/>
            <w:noWrap/>
            <w:vAlign w:val="center"/>
            <w:hideMark/>
          </w:tcPr>
          <w:p w14:paraId="15AE91BB"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r w:rsidRPr="004064C8">
              <w:rPr>
                <w:rFonts w:ascii="Arial" w:hAnsi="Arial" w:cs="Arial"/>
                <w:color w:val="000000"/>
                <w:sz w:val="16"/>
                <w:szCs w:val="16"/>
              </w:rPr>
              <w:t>*</w:t>
            </w:r>
          </w:p>
        </w:tc>
        <w:tc>
          <w:tcPr>
            <w:tcW w:w="0" w:type="dxa"/>
            <w:tcBorders>
              <w:top w:val="nil"/>
              <w:left w:val="nil"/>
              <w:bottom w:val="single" w:sz="4" w:space="0" w:color="auto"/>
              <w:right w:val="nil"/>
            </w:tcBorders>
            <w:shd w:val="clear" w:color="auto" w:fill="auto"/>
            <w:noWrap/>
            <w:vAlign w:val="center"/>
            <w:hideMark/>
          </w:tcPr>
          <w:p w14:paraId="65196270"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0,059</w:t>
            </w:r>
          </w:p>
        </w:tc>
        <w:tc>
          <w:tcPr>
            <w:tcW w:w="0" w:type="dxa"/>
            <w:tcBorders>
              <w:top w:val="nil"/>
              <w:left w:val="nil"/>
              <w:bottom w:val="single" w:sz="4" w:space="0" w:color="auto"/>
              <w:right w:val="nil"/>
            </w:tcBorders>
            <w:shd w:val="clear" w:color="auto" w:fill="auto"/>
            <w:noWrap/>
            <w:vAlign w:val="center"/>
            <w:hideMark/>
          </w:tcPr>
          <w:p w14:paraId="19E242AC" w14:textId="77777777" w:rsidR="006B566E" w:rsidRPr="004064C8" w:rsidRDefault="006B566E" w:rsidP="00D428F4">
            <w:pPr>
              <w:keepNext/>
              <w:widowControl/>
              <w:spacing w:line="240" w:lineRule="auto"/>
              <w:ind w:left="-57" w:right="-57"/>
              <w:jc w:val="left"/>
              <w:rPr>
                <w:rFonts w:ascii="Arial" w:hAnsi="Arial" w:cs="Arial"/>
                <w:color w:val="000000"/>
                <w:sz w:val="16"/>
                <w:szCs w:val="16"/>
              </w:rPr>
            </w:pPr>
          </w:p>
        </w:tc>
        <w:tc>
          <w:tcPr>
            <w:tcW w:w="0" w:type="dxa"/>
            <w:tcBorders>
              <w:top w:val="nil"/>
              <w:left w:val="nil"/>
              <w:bottom w:val="single" w:sz="4" w:space="0" w:color="auto"/>
              <w:right w:val="nil"/>
            </w:tcBorders>
            <w:shd w:val="clear" w:color="auto" w:fill="auto"/>
            <w:noWrap/>
            <w:vAlign w:val="center"/>
            <w:hideMark/>
          </w:tcPr>
          <w:p w14:paraId="18248E1D"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single" w:sz="4" w:space="0" w:color="auto"/>
              <w:right w:val="nil"/>
            </w:tcBorders>
            <w:shd w:val="clear" w:color="auto" w:fill="auto"/>
            <w:noWrap/>
            <w:vAlign w:val="center"/>
            <w:hideMark/>
          </w:tcPr>
          <w:p w14:paraId="4D6CA8E7"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single" w:sz="4" w:space="0" w:color="auto"/>
              <w:right w:val="nil"/>
            </w:tcBorders>
            <w:shd w:val="clear" w:color="auto" w:fill="auto"/>
            <w:noWrap/>
            <w:vAlign w:val="center"/>
            <w:hideMark/>
          </w:tcPr>
          <w:p w14:paraId="5C9892DD"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single" w:sz="4" w:space="0" w:color="auto"/>
              <w:right w:val="nil"/>
            </w:tcBorders>
            <w:shd w:val="clear" w:color="auto" w:fill="auto"/>
            <w:noWrap/>
            <w:vAlign w:val="center"/>
            <w:hideMark/>
          </w:tcPr>
          <w:p w14:paraId="6447062B"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single" w:sz="4" w:space="0" w:color="auto"/>
              <w:right w:val="nil"/>
            </w:tcBorders>
            <w:shd w:val="clear" w:color="auto" w:fill="auto"/>
            <w:noWrap/>
            <w:vAlign w:val="center"/>
            <w:hideMark/>
          </w:tcPr>
          <w:p w14:paraId="13C49051"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single" w:sz="4" w:space="0" w:color="auto"/>
              <w:right w:val="nil"/>
            </w:tcBorders>
            <w:shd w:val="clear" w:color="auto" w:fill="auto"/>
            <w:noWrap/>
            <w:vAlign w:val="center"/>
            <w:hideMark/>
          </w:tcPr>
          <w:p w14:paraId="76E12E17"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p>
        </w:tc>
        <w:tc>
          <w:tcPr>
            <w:tcW w:w="0" w:type="dxa"/>
            <w:tcBorders>
              <w:top w:val="nil"/>
              <w:left w:val="nil"/>
              <w:bottom w:val="single" w:sz="4" w:space="0" w:color="auto"/>
              <w:right w:val="nil"/>
            </w:tcBorders>
            <w:shd w:val="clear" w:color="auto" w:fill="auto"/>
            <w:noWrap/>
            <w:vAlign w:val="center"/>
            <w:hideMark/>
          </w:tcPr>
          <w:p w14:paraId="37B2312D"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0,000</w:t>
            </w:r>
          </w:p>
        </w:tc>
        <w:tc>
          <w:tcPr>
            <w:tcW w:w="0" w:type="dxa"/>
            <w:tcBorders>
              <w:top w:val="nil"/>
              <w:left w:val="nil"/>
              <w:bottom w:val="single" w:sz="4" w:space="0" w:color="auto"/>
              <w:right w:val="nil"/>
            </w:tcBorders>
            <w:shd w:val="clear" w:color="auto" w:fill="auto"/>
            <w:noWrap/>
            <w:vAlign w:val="bottom"/>
            <w:hideMark/>
          </w:tcPr>
          <w:p w14:paraId="4A1558E6" w14:textId="77777777" w:rsidR="006B566E" w:rsidRPr="004064C8" w:rsidRDefault="006B566E" w:rsidP="00D428F4">
            <w:pPr>
              <w:keepNext/>
              <w:widowControl/>
              <w:spacing w:line="240" w:lineRule="auto"/>
              <w:ind w:left="-57" w:right="-57"/>
              <w:jc w:val="right"/>
              <w:rPr>
                <w:rFonts w:ascii="Arial" w:hAnsi="Arial" w:cs="Arial"/>
                <w:color w:val="000000"/>
                <w:sz w:val="16"/>
                <w:szCs w:val="16"/>
              </w:rPr>
            </w:pPr>
            <w:r w:rsidRPr="004064C8">
              <w:rPr>
                <w:rFonts w:ascii="Arial" w:eastAsia="Calibri" w:hAnsi="Arial" w:cs="Arial"/>
                <w:color w:val="000000"/>
                <w:sz w:val="16"/>
                <w:szCs w:val="16"/>
                <w:lang w:eastAsia="en-US"/>
              </w:rPr>
              <w:t> </w:t>
            </w:r>
          </w:p>
        </w:tc>
      </w:tr>
    </w:tbl>
    <w:p w14:paraId="1609997F" w14:textId="77777777" w:rsidR="006B566E" w:rsidRPr="006B566E" w:rsidRDefault="006B566E" w:rsidP="00493718">
      <w:pPr>
        <w:keepNext/>
        <w:widowControl/>
        <w:spacing w:before="40" w:after="240" w:line="240" w:lineRule="auto"/>
        <w:rPr>
          <w:rFonts w:ascii="Arial" w:eastAsia="Calibri" w:hAnsi="Arial" w:cs="Arial"/>
          <w:sz w:val="16"/>
          <w:szCs w:val="16"/>
          <w:lang w:eastAsia="en-US"/>
        </w:rPr>
      </w:pPr>
      <w:r w:rsidRPr="006B566E">
        <w:rPr>
          <w:rFonts w:ascii="Arial" w:eastAsia="Calibri" w:hAnsi="Arial" w:cs="Arial"/>
          <w:sz w:val="16"/>
          <w:szCs w:val="16"/>
          <w:lang w:eastAsia="en-US"/>
        </w:rPr>
        <w:t xml:space="preserve">Coeficiente de correlação de Pearson entre as variáveis métricas do estudo. </w:t>
      </w:r>
      <w:r w:rsidRPr="006B566E">
        <w:rPr>
          <w:rFonts w:ascii="Arial" w:eastAsia="Calibri" w:hAnsi="Arial" w:cs="Arial"/>
          <w:b/>
          <w:sz w:val="16"/>
          <w:szCs w:val="16"/>
          <w:lang w:eastAsia="en-US"/>
        </w:rPr>
        <w:t xml:space="preserve">Variáveis financeiras: </w:t>
      </w:r>
      <w:r w:rsidRPr="006B566E">
        <w:rPr>
          <w:rFonts w:ascii="Arial" w:eastAsia="Calibri" w:hAnsi="Arial" w:cs="Arial"/>
          <w:sz w:val="16"/>
          <w:szCs w:val="16"/>
          <w:lang w:eastAsia="en-US"/>
        </w:rPr>
        <w:t xml:space="preserve">Market-to-book (MB); Tamanho (TAM); Retorno sobre patrimônio líquido (ROE). </w:t>
      </w:r>
      <w:r w:rsidRPr="006B566E">
        <w:rPr>
          <w:rFonts w:ascii="Arial" w:eastAsia="Calibri" w:hAnsi="Arial" w:cs="Arial"/>
          <w:b/>
          <w:sz w:val="16"/>
          <w:szCs w:val="16"/>
          <w:lang w:eastAsia="en-US"/>
        </w:rPr>
        <w:t xml:space="preserve">Características da administração mensuradas por escores fatoriais: </w:t>
      </w:r>
      <w:r w:rsidRPr="006B566E">
        <w:rPr>
          <w:rFonts w:ascii="Arial" w:eastAsia="Calibri" w:hAnsi="Arial" w:cs="Arial"/>
          <w:sz w:val="16"/>
          <w:szCs w:val="16"/>
          <w:lang w:eastAsia="en-US"/>
        </w:rPr>
        <w:t xml:space="preserve">Remuneração da diretoria executiva (REMDE); Independência dos administradores (INDEP); Avaliação dos administradores (AVAL); Separação entre órgãos da administração (SEPCADE); Remuneração do conselho de administração (REMCA). </w:t>
      </w:r>
      <w:r w:rsidRPr="006B566E">
        <w:rPr>
          <w:rFonts w:ascii="Arial" w:eastAsia="Calibri" w:hAnsi="Arial" w:cs="Arial"/>
          <w:b/>
          <w:sz w:val="16"/>
          <w:szCs w:val="16"/>
          <w:lang w:eastAsia="en-US"/>
        </w:rPr>
        <w:t xml:space="preserve">Significância estatística: </w:t>
      </w:r>
      <w:r w:rsidRPr="006B566E">
        <w:rPr>
          <w:rFonts w:ascii="Arial" w:eastAsia="Calibri" w:hAnsi="Arial" w:cs="Arial"/>
          <w:sz w:val="16"/>
          <w:szCs w:val="16"/>
          <w:lang w:eastAsia="en-US"/>
        </w:rPr>
        <w:t>p-valor menor do que 10% (*), 5% (**) e 1% (***).</w:t>
      </w:r>
    </w:p>
    <w:p w14:paraId="0952544A" w14:textId="77777777" w:rsidR="006B566E" w:rsidRPr="00493718" w:rsidRDefault="00493718" w:rsidP="00493718">
      <w:pPr>
        <w:keepNext/>
        <w:keepLines/>
        <w:widowControl/>
        <w:spacing w:before="360" w:after="240" w:line="240" w:lineRule="auto"/>
        <w:outlineLvl w:val="0"/>
        <w:rPr>
          <w:rFonts w:ascii="Arial" w:hAnsi="Arial" w:cs="Arial"/>
          <w:b/>
          <w:sz w:val="20"/>
          <w:szCs w:val="20"/>
          <w:lang w:eastAsia="x-none"/>
        </w:rPr>
      </w:pPr>
      <w:r w:rsidRPr="00493718">
        <w:rPr>
          <w:rFonts w:ascii="Arial" w:hAnsi="Arial" w:cs="Arial"/>
          <w:b/>
          <w:sz w:val="20"/>
          <w:szCs w:val="20"/>
          <w:lang w:eastAsia="x-none"/>
        </w:rPr>
        <w:t xml:space="preserve">4.3 </w:t>
      </w:r>
      <w:r w:rsidR="006B566E" w:rsidRPr="00493718">
        <w:rPr>
          <w:rFonts w:ascii="Arial" w:hAnsi="Arial" w:cs="Arial"/>
          <w:b/>
          <w:sz w:val="20"/>
          <w:szCs w:val="20"/>
          <w:lang w:eastAsia="x-none"/>
        </w:rPr>
        <w:t>Controle acionário e características da administração</w:t>
      </w:r>
    </w:p>
    <w:p w14:paraId="3678425F" w14:textId="77777777" w:rsidR="006B566E" w:rsidRPr="00493718" w:rsidRDefault="006B566E" w:rsidP="00493718">
      <w:pPr>
        <w:widowControl/>
        <w:spacing w:before="240" w:line="240" w:lineRule="auto"/>
        <w:ind w:firstLine="709"/>
        <w:rPr>
          <w:rFonts w:ascii="Arial" w:eastAsia="Calibri" w:hAnsi="Arial" w:cs="Arial"/>
          <w:sz w:val="18"/>
          <w:szCs w:val="18"/>
          <w:lang w:eastAsia="en-US"/>
        </w:rPr>
      </w:pPr>
      <w:r w:rsidRPr="00493718">
        <w:rPr>
          <w:rFonts w:ascii="Arial" w:eastAsia="Calibri" w:hAnsi="Arial" w:cs="Arial"/>
          <w:sz w:val="18"/>
          <w:szCs w:val="18"/>
          <w:lang w:eastAsia="en-US"/>
        </w:rPr>
        <w:t>A primeira hipótese de pesquisa aborda a relação entre controle acionário e características da administração. Para testar esta hipótese foram processados testes de análise da variância (Tabela 7) e análise de regressão (Tabela 8).</w:t>
      </w:r>
    </w:p>
    <w:p w14:paraId="3E9705C9" w14:textId="77777777" w:rsidR="006B566E" w:rsidRPr="007352CD" w:rsidRDefault="006B566E" w:rsidP="00493718">
      <w:pPr>
        <w:widowControl/>
        <w:spacing w:before="240" w:after="240" w:line="240" w:lineRule="auto"/>
        <w:ind w:firstLine="709"/>
        <w:rPr>
          <w:rFonts w:ascii="Arial" w:eastAsia="Calibri" w:hAnsi="Arial" w:cs="Arial"/>
          <w:spacing w:val="-6"/>
          <w:sz w:val="18"/>
          <w:szCs w:val="18"/>
          <w:lang w:eastAsia="en-US"/>
        </w:rPr>
      </w:pPr>
      <w:r w:rsidRPr="007352CD">
        <w:rPr>
          <w:rFonts w:ascii="Arial" w:eastAsia="Calibri" w:hAnsi="Arial" w:cs="Arial"/>
          <w:spacing w:val="-6"/>
          <w:sz w:val="18"/>
          <w:szCs w:val="18"/>
          <w:lang w:eastAsia="en-US"/>
        </w:rPr>
        <w:t>Na Tabela 7 são apresentados os escores fatoriais médios das características da administração de acordo com o tipo de controle acionário. Os testes de análise da variância indicam que apenas para a remuneração do conselho de administração não há associação com o tipo de controle acionário. A utilização de remuneração variável e de longo prazo para membros da diretoria executiva é maior nas empresas com controle disperso e empresarial. O nível de independência dos administradores é maior nas empresas com controle disperso, e menor nas empresas com controle compartilhado e familiar. Mecanismos de avaliação de administradores estão mais presentes nas empresas com controle governamental, e menos presentes nas empresas com controle familiar. A separação entre os órgãos da administração, por sua vez, é maior nas empresas com controle disperso e compartilhado.</w:t>
      </w:r>
    </w:p>
    <w:p w14:paraId="42C5D09A" w14:textId="77777777" w:rsidR="006B566E" w:rsidRPr="006B566E" w:rsidRDefault="006B566E" w:rsidP="00493718">
      <w:pPr>
        <w:keepNext/>
        <w:keepLines/>
        <w:widowControl/>
        <w:spacing w:line="240" w:lineRule="auto"/>
        <w:outlineLvl w:val="2"/>
        <w:rPr>
          <w:rFonts w:ascii="Arial" w:hAnsi="Arial" w:cs="Arial"/>
          <w:b/>
          <w:sz w:val="18"/>
          <w:szCs w:val="18"/>
          <w:lang w:eastAsia="en-US"/>
        </w:rPr>
      </w:pPr>
      <w:r w:rsidRPr="006B566E">
        <w:rPr>
          <w:rFonts w:ascii="Arial" w:hAnsi="Arial" w:cs="Arial"/>
          <w:b/>
          <w:sz w:val="18"/>
          <w:szCs w:val="18"/>
          <w:lang w:eastAsia="en-US"/>
        </w:rPr>
        <w:t>Tabela 7</w:t>
      </w:r>
    </w:p>
    <w:p w14:paraId="39E082F5" w14:textId="77777777" w:rsidR="006B566E" w:rsidRPr="006B566E" w:rsidRDefault="006B566E" w:rsidP="00493718">
      <w:pPr>
        <w:keepNext/>
        <w:keepLines/>
        <w:widowControl/>
        <w:spacing w:line="240" w:lineRule="auto"/>
        <w:outlineLvl w:val="2"/>
        <w:rPr>
          <w:rFonts w:ascii="Arial" w:hAnsi="Arial" w:cs="Arial"/>
          <w:bCs/>
          <w:sz w:val="18"/>
          <w:szCs w:val="18"/>
          <w:lang w:eastAsia="en-US"/>
        </w:rPr>
      </w:pPr>
      <w:r w:rsidRPr="006B566E">
        <w:rPr>
          <w:rFonts w:ascii="Arial" w:hAnsi="Arial" w:cs="Arial"/>
          <w:bCs/>
          <w:sz w:val="18"/>
          <w:szCs w:val="18"/>
          <w:lang w:eastAsia="en-US"/>
        </w:rPr>
        <w:t>Características da administração por tipo de controle acionário</w:t>
      </w:r>
      <w:r w:rsidR="00493718">
        <w:rPr>
          <w:rFonts w:ascii="Arial" w:hAnsi="Arial" w:cs="Arial"/>
          <w:bCs/>
          <w:sz w:val="18"/>
          <w:szCs w:val="18"/>
          <w:lang w:eastAsia="en-US"/>
        </w:rPr>
        <w:t>.</w:t>
      </w:r>
    </w:p>
    <w:tbl>
      <w:tblPr>
        <w:tblW w:w="7938" w:type="dxa"/>
        <w:jc w:val="center"/>
        <w:tblLayout w:type="fixed"/>
        <w:tblCellMar>
          <w:left w:w="70" w:type="dxa"/>
          <w:right w:w="70" w:type="dxa"/>
        </w:tblCellMar>
        <w:tblLook w:val="04A0" w:firstRow="1" w:lastRow="0" w:firstColumn="1" w:lastColumn="0" w:noHBand="0" w:noVBand="1"/>
      </w:tblPr>
      <w:tblGrid>
        <w:gridCol w:w="993"/>
        <w:gridCol w:w="993"/>
        <w:gridCol w:w="992"/>
        <w:gridCol w:w="992"/>
        <w:gridCol w:w="992"/>
        <w:gridCol w:w="992"/>
        <w:gridCol w:w="992"/>
        <w:gridCol w:w="992"/>
      </w:tblGrid>
      <w:tr w:rsidR="006B566E" w:rsidRPr="00493718" w14:paraId="7236AAFF" w14:textId="77777777" w:rsidTr="00493718">
        <w:trPr>
          <w:trHeight w:val="20"/>
          <w:jc w:val="center"/>
        </w:trPr>
        <w:tc>
          <w:tcPr>
            <w:tcW w:w="0" w:type="dxa"/>
            <w:vMerge w:val="restart"/>
            <w:tcBorders>
              <w:top w:val="single" w:sz="4" w:space="0" w:color="auto"/>
              <w:left w:val="nil"/>
              <w:bottom w:val="single" w:sz="4" w:space="0" w:color="auto"/>
              <w:right w:val="nil"/>
            </w:tcBorders>
            <w:shd w:val="clear" w:color="auto" w:fill="auto"/>
            <w:vAlign w:val="bottom"/>
            <w:hideMark/>
          </w:tcPr>
          <w:p w14:paraId="750CB0C4"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Características da administração</w:t>
            </w:r>
          </w:p>
        </w:tc>
        <w:tc>
          <w:tcPr>
            <w:tcW w:w="0" w:type="dxa"/>
            <w:gridSpan w:val="5"/>
            <w:tcBorders>
              <w:top w:val="single" w:sz="4" w:space="0" w:color="auto"/>
              <w:left w:val="nil"/>
              <w:bottom w:val="single" w:sz="4" w:space="0" w:color="auto"/>
              <w:right w:val="nil"/>
            </w:tcBorders>
            <w:shd w:val="clear" w:color="auto" w:fill="auto"/>
            <w:noWrap/>
            <w:vAlign w:val="bottom"/>
            <w:hideMark/>
          </w:tcPr>
          <w:p w14:paraId="02E63F26"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Controle acionário</w:t>
            </w:r>
          </w:p>
        </w:tc>
        <w:tc>
          <w:tcPr>
            <w:tcW w:w="0" w:type="dxa"/>
            <w:gridSpan w:val="2"/>
            <w:vMerge w:val="restart"/>
            <w:tcBorders>
              <w:top w:val="single" w:sz="4" w:space="0" w:color="auto"/>
              <w:left w:val="nil"/>
              <w:bottom w:val="single" w:sz="4" w:space="0" w:color="auto"/>
              <w:right w:val="nil"/>
            </w:tcBorders>
            <w:shd w:val="clear" w:color="auto" w:fill="auto"/>
            <w:noWrap/>
            <w:vAlign w:val="center"/>
            <w:hideMark/>
          </w:tcPr>
          <w:p w14:paraId="561156AA" w14:textId="77777777" w:rsidR="006B566E" w:rsidRPr="00493718" w:rsidRDefault="006B566E" w:rsidP="006B566E">
            <w:pPr>
              <w:keepNext/>
              <w:widowControl/>
              <w:spacing w:line="240" w:lineRule="auto"/>
              <w:jc w:val="center"/>
              <w:rPr>
                <w:rFonts w:ascii="Arial" w:hAnsi="Arial" w:cs="Arial"/>
                <w:b/>
                <w:sz w:val="16"/>
                <w:szCs w:val="16"/>
              </w:rPr>
            </w:pPr>
            <w:r w:rsidRPr="00493718">
              <w:rPr>
                <w:rFonts w:ascii="Arial" w:hAnsi="Arial" w:cs="Arial"/>
                <w:b/>
                <w:color w:val="000000"/>
                <w:sz w:val="16"/>
                <w:szCs w:val="16"/>
              </w:rPr>
              <w:t>Análise da variância (F)</w:t>
            </w:r>
          </w:p>
        </w:tc>
      </w:tr>
      <w:tr w:rsidR="006B566E" w:rsidRPr="00493718" w14:paraId="49C51972" w14:textId="77777777" w:rsidTr="00493718">
        <w:trPr>
          <w:trHeight w:val="20"/>
          <w:jc w:val="center"/>
        </w:trPr>
        <w:tc>
          <w:tcPr>
            <w:tcW w:w="0" w:type="dxa"/>
            <w:vMerge/>
            <w:tcBorders>
              <w:top w:val="single" w:sz="4" w:space="0" w:color="auto"/>
              <w:left w:val="nil"/>
              <w:bottom w:val="single" w:sz="4" w:space="0" w:color="auto"/>
              <w:right w:val="nil"/>
            </w:tcBorders>
            <w:vAlign w:val="center"/>
            <w:hideMark/>
          </w:tcPr>
          <w:p w14:paraId="364AF76B" w14:textId="77777777" w:rsidR="006B566E" w:rsidRPr="00493718" w:rsidRDefault="006B566E" w:rsidP="006B566E">
            <w:pPr>
              <w:keepNext/>
              <w:widowControl/>
              <w:spacing w:line="240" w:lineRule="auto"/>
              <w:jc w:val="left"/>
              <w:rPr>
                <w:rFonts w:ascii="Arial" w:hAnsi="Arial" w:cs="Arial"/>
                <w:color w:val="000000"/>
                <w:sz w:val="16"/>
                <w:szCs w:val="16"/>
              </w:rPr>
            </w:pPr>
          </w:p>
        </w:tc>
        <w:tc>
          <w:tcPr>
            <w:tcW w:w="0" w:type="dxa"/>
            <w:tcBorders>
              <w:top w:val="single" w:sz="4" w:space="0" w:color="auto"/>
              <w:left w:val="nil"/>
              <w:bottom w:val="single" w:sz="4" w:space="0" w:color="auto"/>
              <w:right w:val="nil"/>
            </w:tcBorders>
            <w:shd w:val="clear" w:color="auto" w:fill="auto"/>
            <w:noWrap/>
            <w:vAlign w:val="center"/>
            <w:hideMark/>
          </w:tcPr>
          <w:p w14:paraId="7502843B"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DISP</w:t>
            </w:r>
          </w:p>
        </w:tc>
        <w:tc>
          <w:tcPr>
            <w:tcW w:w="0" w:type="dxa"/>
            <w:tcBorders>
              <w:top w:val="single" w:sz="4" w:space="0" w:color="auto"/>
              <w:left w:val="nil"/>
              <w:bottom w:val="single" w:sz="4" w:space="0" w:color="auto"/>
              <w:right w:val="nil"/>
            </w:tcBorders>
            <w:shd w:val="clear" w:color="auto" w:fill="auto"/>
            <w:noWrap/>
            <w:vAlign w:val="center"/>
            <w:hideMark/>
          </w:tcPr>
          <w:p w14:paraId="7C97CCC2"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COMP</w:t>
            </w:r>
          </w:p>
        </w:tc>
        <w:tc>
          <w:tcPr>
            <w:tcW w:w="0" w:type="dxa"/>
            <w:tcBorders>
              <w:top w:val="single" w:sz="4" w:space="0" w:color="auto"/>
              <w:left w:val="nil"/>
              <w:bottom w:val="single" w:sz="4" w:space="0" w:color="auto"/>
              <w:right w:val="nil"/>
            </w:tcBorders>
            <w:shd w:val="clear" w:color="auto" w:fill="auto"/>
            <w:noWrap/>
            <w:vAlign w:val="center"/>
            <w:hideMark/>
          </w:tcPr>
          <w:p w14:paraId="66971C18"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FAM</w:t>
            </w:r>
          </w:p>
        </w:tc>
        <w:tc>
          <w:tcPr>
            <w:tcW w:w="0" w:type="dxa"/>
            <w:tcBorders>
              <w:top w:val="single" w:sz="4" w:space="0" w:color="auto"/>
              <w:left w:val="nil"/>
              <w:bottom w:val="single" w:sz="4" w:space="0" w:color="auto"/>
              <w:right w:val="nil"/>
            </w:tcBorders>
            <w:shd w:val="clear" w:color="auto" w:fill="auto"/>
            <w:noWrap/>
            <w:vAlign w:val="center"/>
            <w:hideMark/>
          </w:tcPr>
          <w:p w14:paraId="4E1DBB08"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EMP</w:t>
            </w:r>
          </w:p>
        </w:tc>
        <w:tc>
          <w:tcPr>
            <w:tcW w:w="0" w:type="dxa"/>
            <w:tcBorders>
              <w:top w:val="single" w:sz="4" w:space="0" w:color="auto"/>
              <w:left w:val="nil"/>
              <w:bottom w:val="single" w:sz="4" w:space="0" w:color="auto"/>
              <w:right w:val="nil"/>
            </w:tcBorders>
            <w:shd w:val="clear" w:color="auto" w:fill="auto"/>
            <w:noWrap/>
            <w:vAlign w:val="center"/>
            <w:hideMark/>
          </w:tcPr>
          <w:p w14:paraId="659CF47A" w14:textId="77777777" w:rsidR="006B566E" w:rsidRPr="00493718" w:rsidRDefault="006B566E" w:rsidP="006B566E">
            <w:pPr>
              <w:keepNext/>
              <w:widowControl/>
              <w:spacing w:line="240" w:lineRule="auto"/>
              <w:jc w:val="center"/>
              <w:rPr>
                <w:rFonts w:ascii="Arial" w:hAnsi="Arial" w:cs="Arial"/>
                <w:b/>
                <w:color w:val="000000"/>
                <w:sz w:val="16"/>
                <w:szCs w:val="16"/>
              </w:rPr>
            </w:pPr>
            <w:r w:rsidRPr="00493718">
              <w:rPr>
                <w:rFonts w:ascii="Arial" w:hAnsi="Arial" w:cs="Arial"/>
                <w:b/>
                <w:color w:val="000000"/>
                <w:sz w:val="16"/>
                <w:szCs w:val="16"/>
              </w:rPr>
              <w:t>GOV</w:t>
            </w:r>
          </w:p>
        </w:tc>
        <w:tc>
          <w:tcPr>
            <w:tcW w:w="0" w:type="dxa"/>
            <w:gridSpan w:val="2"/>
            <w:vMerge/>
            <w:tcBorders>
              <w:top w:val="single" w:sz="4" w:space="0" w:color="auto"/>
              <w:left w:val="nil"/>
              <w:bottom w:val="single" w:sz="4" w:space="0" w:color="auto"/>
              <w:right w:val="nil"/>
            </w:tcBorders>
            <w:shd w:val="clear" w:color="auto" w:fill="auto"/>
            <w:noWrap/>
            <w:vAlign w:val="bottom"/>
            <w:hideMark/>
          </w:tcPr>
          <w:p w14:paraId="515BCC9A" w14:textId="77777777" w:rsidR="006B566E" w:rsidRPr="00493718" w:rsidRDefault="006B566E" w:rsidP="006B566E">
            <w:pPr>
              <w:keepNext/>
              <w:widowControl/>
              <w:spacing w:line="240" w:lineRule="auto"/>
              <w:jc w:val="center"/>
              <w:rPr>
                <w:rFonts w:ascii="Arial" w:hAnsi="Arial" w:cs="Arial"/>
                <w:color w:val="000000"/>
                <w:sz w:val="16"/>
                <w:szCs w:val="16"/>
              </w:rPr>
            </w:pPr>
          </w:p>
        </w:tc>
      </w:tr>
      <w:tr w:rsidR="006B566E" w:rsidRPr="00493718" w14:paraId="296DEE31" w14:textId="77777777" w:rsidTr="00493718">
        <w:trPr>
          <w:trHeight w:val="20"/>
          <w:jc w:val="center"/>
        </w:trPr>
        <w:tc>
          <w:tcPr>
            <w:tcW w:w="0" w:type="dxa"/>
            <w:tcBorders>
              <w:top w:val="single" w:sz="4" w:space="0" w:color="auto"/>
              <w:left w:val="nil"/>
              <w:bottom w:val="nil"/>
              <w:right w:val="nil"/>
            </w:tcBorders>
            <w:shd w:val="clear" w:color="auto" w:fill="auto"/>
            <w:noWrap/>
            <w:vAlign w:val="bottom"/>
            <w:hideMark/>
          </w:tcPr>
          <w:p w14:paraId="296DFAAA" w14:textId="77777777" w:rsidR="006B566E" w:rsidRPr="00493718" w:rsidRDefault="006B566E" w:rsidP="006B566E">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REMDE</w:t>
            </w:r>
          </w:p>
        </w:tc>
        <w:tc>
          <w:tcPr>
            <w:tcW w:w="0" w:type="dxa"/>
            <w:tcBorders>
              <w:top w:val="single" w:sz="4" w:space="0" w:color="auto"/>
              <w:left w:val="nil"/>
              <w:bottom w:val="nil"/>
              <w:right w:val="nil"/>
            </w:tcBorders>
            <w:shd w:val="clear" w:color="auto" w:fill="auto"/>
            <w:noWrap/>
            <w:vAlign w:val="bottom"/>
            <w:hideMark/>
          </w:tcPr>
          <w:p w14:paraId="7B3613D6"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0,5685</w:t>
            </w:r>
          </w:p>
        </w:tc>
        <w:tc>
          <w:tcPr>
            <w:tcW w:w="0" w:type="dxa"/>
            <w:tcBorders>
              <w:top w:val="single" w:sz="4" w:space="0" w:color="auto"/>
              <w:left w:val="nil"/>
              <w:bottom w:val="nil"/>
              <w:right w:val="nil"/>
            </w:tcBorders>
            <w:shd w:val="clear" w:color="auto" w:fill="auto"/>
            <w:noWrap/>
            <w:vAlign w:val="bottom"/>
            <w:hideMark/>
          </w:tcPr>
          <w:p w14:paraId="64A3EEE7"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0,5097</w:t>
            </w:r>
          </w:p>
        </w:tc>
        <w:tc>
          <w:tcPr>
            <w:tcW w:w="0" w:type="dxa"/>
            <w:tcBorders>
              <w:top w:val="single" w:sz="4" w:space="0" w:color="auto"/>
              <w:left w:val="nil"/>
              <w:bottom w:val="nil"/>
              <w:right w:val="nil"/>
            </w:tcBorders>
            <w:shd w:val="clear" w:color="auto" w:fill="auto"/>
            <w:noWrap/>
            <w:vAlign w:val="bottom"/>
            <w:hideMark/>
          </w:tcPr>
          <w:p w14:paraId="0010FEFF"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0,4715</w:t>
            </w:r>
          </w:p>
        </w:tc>
        <w:tc>
          <w:tcPr>
            <w:tcW w:w="0" w:type="dxa"/>
            <w:tcBorders>
              <w:top w:val="single" w:sz="4" w:space="0" w:color="auto"/>
              <w:left w:val="nil"/>
              <w:bottom w:val="nil"/>
              <w:right w:val="nil"/>
            </w:tcBorders>
            <w:shd w:val="clear" w:color="auto" w:fill="auto"/>
            <w:noWrap/>
            <w:vAlign w:val="bottom"/>
            <w:hideMark/>
          </w:tcPr>
          <w:p w14:paraId="27131F68"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0,5621</w:t>
            </w:r>
          </w:p>
        </w:tc>
        <w:tc>
          <w:tcPr>
            <w:tcW w:w="0" w:type="dxa"/>
            <w:tcBorders>
              <w:top w:val="single" w:sz="4" w:space="0" w:color="auto"/>
              <w:left w:val="nil"/>
              <w:bottom w:val="nil"/>
              <w:right w:val="nil"/>
            </w:tcBorders>
            <w:shd w:val="clear" w:color="auto" w:fill="auto"/>
            <w:noWrap/>
            <w:vAlign w:val="bottom"/>
            <w:hideMark/>
          </w:tcPr>
          <w:p w14:paraId="23A8970D"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0,4710</w:t>
            </w:r>
          </w:p>
        </w:tc>
        <w:tc>
          <w:tcPr>
            <w:tcW w:w="0" w:type="dxa"/>
            <w:tcBorders>
              <w:top w:val="single" w:sz="4" w:space="0" w:color="auto"/>
              <w:left w:val="nil"/>
              <w:bottom w:val="nil"/>
              <w:right w:val="nil"/>
            </w:tcBorders>
            <w:shd w:val="clear" w:color="auto" w:fill="auto"/>
            <w:noWrap/>
            <w:vAlign w:val="bottom"/>
            <w:hideMark/>
          </w:tcPr>
          <w:p w14:paraId="15B78CAA"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6,15</w:t>
            </w:r>
          </w:p>
        </w:tc>
        <w:tc>
          <w:tcPr>
            <w:tcW w:w="0" w:type="dxa"/>
            <w:tcBorders>
              <w:top w:val="single" w:sz="4" w:space="0" w:color="auto"/>
              <w:left w:val="nil"/>
              <w:bottom w:val="nil"/>
              <w:right w:val="nil"/>
            </w:tcBorders>
            <w:shd w:val="clear" w:color="auto" w:fill="auto"/>
            <w:noWrap/>
            <w:vAlign w:val="bottom"/>
            <w:hideMark/>
          </w:tcPr>
          <w:p w14:paraId="3D9C1F6A" w14:textId="77777777" w:rsidR="006B566E" w:rsidRPr="00493718" w:rsidRDefault="006B566E" w:rsidP="006B566E">
            <w:pPr>
              <w:keepNext/>
              <w:widowControl/>
              <w:spacing w:line="240" w:lineRule="auto"/>
              <w:ind w:left="-57" w:right="-57"/>
              <w:jc w:val="left"/>
              <w:rPr>
                <w:rFonts w:ascii="Arial" w:hAnsi="Arial" w:cs="Arial"/>
                <w:color w:val="000000"/>
                <w:sz w:val="16"/>
                <w:szCs w:val="16"/>
              </w:rPr>
            </w:pPr>
            <w:r w:rsidRPr="00493718">
              <w:rPr>
                <w:rFonts w:ascii="Arial" w:eastAsia="Calibri" w:hAnsi="Arial" w:cs="Arial"/>
                <w:color w:val="000000"/>
                <w:sz w:val="16"/>
                <w:szCs w:val="16"/>
                <w:lang w:eastAsia="en-US"/>
              </w:rPr>
              <w:t>***</w:t>
            </w:r>
          </w:p>
        </w:tc>
      </w:tr>
      <w:tr w:rsidR="006B566E" w:rsidRPr="00493718" w14:paraId="7165F269" w14:textId="77777777" w:rsidTr="00493718">
        <w:trPr>
          <w:trHeight w:val="20"/>
          <w:jc w:val="center"/>
        </w:trPr>
        <w:tc>
          <w:tcPr>
            <w:tcW w:w="0" w:type="dxa"/>
            <w:tcBorders>
              <w:top w:val="nil"/>
              <w:left w:val="nil"/>
              <w:bottom w:val="nil"/>
              <w:right w:val="nil"/>
            </w:tcBorders>
            <w:shd w:val="clear" w:color="auto" w:fill="auto"/>
            <w:noWrap/>
            <w:vAlign w:val="bottom"/>
            <w:hideMark/>
          </w:tcPr>
          <w:p w14:paraId="7957889E" w14:textId="77777777" w:rsidR="006B566E" w:rsidRPr="00493718" w:rsidRDefault="006B566E" w:rsidP="006B566E">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INDEP</w:t>
            </w:r>
          </w:p>
        </w:tc>
        <w:tc>
          <w:tcPr>
            <w:tcW w:w="0" w:type="dxa"/>
            <w:tcBorders>
              <w:top w:val="nil"/>
              <w:left w:val="nil"/>
              <w:bottom w:val="nil"/>
              <w:right w:val="nil"/>
            </w:tcBorders>
            <w:shd w:val="clear" w:color="auto" w:fill="auto"/>
            <w:noWrap/>
            <w:vAlign w:val="bottom"/>
            <w:hideMark/>
          </w:tcPr>
          <w:p w14:paraId="2E2105CB"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0,7476</w:t>
            </w:r>
          </w:p>
        </w:tc>
        <w:tc>
          <w:tcPr>
            <w:tcW w:w="0" w:type="dxa"/>
            <w:tcBorders>
              <w:top w:val="nil"/>
              <w:left w:val="nil"/>
              <w:bottom w:val="nil"/>
              <w:right w:val="nil"/>
            </w:tcBorders>
            <w:shd w:val="clear" w:color="auto" w:fill="auto"/>
            <w:noWrap/>
            <w:vAlign w:val="bottom"/>
            <w:hideMark/>
          </w:tcPr>
          <w:p w14:paraId="43E801E8"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0,2723</w:t>
            </w:r>
          </w:p>
        </w:tc>
        <w:tc>
          <w:tcPr>
            <w:tcW w:w="0" w:type="dxa"/>
            <w:tcBorders>
              <w:top w:val="nil"/>
              <w:left w:val="nil"/>
              <w:bottom w:val="nil"/>
              <w:right w:val="nil"/>
            </w:tcBorders>
            <w:shd w:val="clear" w:color="auto" w:fill="auto"/>
            <w:noWrap/>
            <w:vAlign w:val="bottom"/>
            <w:hideMark/>
          </w:tcPr>
          <w:p w14:paraId="369DEDDC"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0,2626</w:t>
            </w:r>
          </w:p>
        </w:tc>
        <w:tc>
          <w:tcPr>
            <w:tcW w:w="0" w:type="dxa"/>
            <w:tcBorders>
              <w:top w:val="nil"/>
              <w:left w:val="nil"/>
              <w:bottom w:val="nil"/>
              <w:right w:val="nil"/>
            </w:tcBorders>
            <w:shd w:val="clear" w:color="auto" w:fill="auto"/>
            <w:noWrap/>
            <w:vAlign w:val="bottom"/>
            <w:hideMark/>
          </w:tcPr>
          <w:p w14:paraId="63BADCD3"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0,3183</w:t>
            </w:r>
          </w:p>
        </w:tc>
        <w:tc>
          <w:tcPr>
            <w:tcW w:w="0" w:type="dxa"/>
            <w:tcBorders>
              <w:top w:val="nil"/>
              <w:left w:val="nil"/>
              <w:bottom w:val="nil"/>
              <w:right w:val="nil"/>
            </w:tcBorders>
            <w:shd w:val="clear" w:color="auto" w:fill="auto"/>
            <w:noWrap/>
            <w:vAlign w:val="bottom"/>
            <w:hideMark/>
          </w:tcPr>
          <w:p w14:paraId="12B66492"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0,4506</w:t>
            </w:r>
          </w:p>
        </w:tc>
        <w:tc>
          <w:tcPr>
            <w:tcW w:w="0" w:type="dxa"/>
            <w:tcBorders>
              <w:top w:val="nil"/>
              <w:left w:val="nil"/>
              <w:bottom w:val="nil"/>
              <w:right w:val="nil"/>
            </w:tcBorders>
            <w:shd w:val="clear" w:color="auto" w:fill="auto"/>
            <w:noWrap/>
            <w:vAlign w:val="bottom"/>
            <w:hideMark/>
          </w:tcPr>
          <w:p w14:paraId="7A3CE750"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240,52</w:t>
            </w:r>
          </w:p>
        </w:tc>
        <w:tc>
          <w:tcPr>
            <w:tcW w:w="0" w:type="dxa"/>
            <w:tcBorders>
              <w:top w:val="nil"/>
              <w:left w:val="nil"/>
              <w:bottom w:val="nil"/>
              <w:right w:val="nil"/>
            </w:tcBorders>
            <w:shd w:val="clear" w:color="auto" w:fill="auto"/>
            <w:noWrap/>
            <w:vAlign w:val="bottom"/>
            <w:hideMark/>
          </w:tcPr>
          <w:p w14:paraId="0D82E3B3" w14:textId="77777777" w:rsidR="006B566E" w:rsidRPr="00493718" w:rsidRDefault="006B566E" w:rsidP="006B566E">
            <w:pPr>
              <w:keepNext/>
              <w:widowControl/>
              <w:spacing w:line="240" w:lineRule="auto"/>
              <w:ind w:left="-57" w:right="-57"/>
              <w:jc w:val="left"/>
              <w:rPr>
                <w:rFonts w:ascii="Arial" w:hAnsi="Arial" w:cs="Arial"/>
                <w:color w:val="000000"/>
                <w:sz w:val="16"/>
                <w:szCs w:val="16"/>
              </w:rPr>
            </w:pPr>
            <w:r w:rsidRPr="00493718">
              <w:rPr>
                <w:rFonts w:ascii="Arial" w:eastAsia="Calibri" w:hAnsi="Arial" w:cs="Arial"/>
                <w:color w:val="000000"/>
                <w:sz w:val="16"/>
                <w:szCs w:val="16"/>
                <w:lang w:eastAsia="en-US"/>
              </w:rPr>
              <w:t>***</w:t>
            </w:r>
          </w:p>
        </w:tc>
      </w:tr>
      <w:tr w:rsidR="006B566E" w:rsidRPr="00493718" w14:paraId="2FDC984E" w14:textId="77777777" w:rsidTr="00493718">
        <w:trPr>
          <w:trHeight w:val="20"/>
          <w:jc w:val="center"/>
        </w:trPr>
        <w:tc>
          <w:tcPr>
            <w:tcW w:w="0" w:type="dxa"/>
            <w:tcBorders>
              <w:top w:val="nil"/>
              <w:left w:val="nil"/>
              <w:bottom w:val="nil"/>
              <w:right w:val="nil"/>
            </w:tcBorders>
            <w:shd w:val="clear" w:color="auto" w:fill="auto"/>
            <w:noWrap/>
            <w:vAlign w:val="bottom"/>
            <w:hideMark/>
          </w:tcPr>
          <w:p w14:paraId="6F11A2AC" w14:textId="77777777" w:rsidR="006B566E" w:rsidRPr="00493718" w:rsidRDefault="006B566E" w:rsidP="006B566E">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AVAL</w:t>
            </w:r>
          </w:p>
        </w:tc>
        <w:tc>
          <w:tcPr>
            <w:tcW w:w="0" w:type="dxa"/>
            <w:tcBorders>
              <w:top w:val="nil"/>
              <w:left w:val="nil"/>
              <w:bottom w:val="nil"/>
              <w:right w:val="nil"/>
            </w:tcBorders>
            <w:shd w:val="clear" w:color="auto" w:fill="auto"/>
            <w:noWrap/>
            <w:vAlign w:val="bottom"/>
            <w:hideMark/>
          </w:tcPr>
          <w:p w14:paraId="129A9C7E"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0,5107</w:t>
            </w:r>
          </w:p>
        </w:tc>
        <w:tc>
          <w:tcPr>
            <w:tcW w:w="0" w:type="dxa"/>
            <w:tcBorders>
              <w:top w:val="nil"/>
              <w:left w:val="nil"/>
              <w:bottom w:val="nil"/>
              <w:right w:val="nil"/>
            </w:tcBorders>
            <w:shd w:val="clear" w:color="auto" w:fill="auto"/>
            <w:noWrap/>
            <w:vAlign w:val="bottom"/>
            <w:hideMark/>
          </w:tcPr>
          <w:p w14:paraId="507258ED"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0,5829</w:t>
            </w:r>
          </w:p>
        </w:tc>
        <w:tc>
          <w:tcPr>
            <w:tcW w:w="0" w:type="dxa"/>
            <w:tcBorders>
              <w:top w:val="nil"/>
              <w:left w:val="nil"/>
              <w:bottom w:val="nil"/>
              <w:right w:val="nil"/>
            </w:tcBorders>
            <w:shd w:val="clear" w:color="auto" w:fill="auto"/>
            <w:noWrap/>
            <w:vAlign w:val="bottom"/>
            <w:hideMark/>
          </w:tcPr>
          <w:p w14:paraId="4DCA5D0E"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0,4369</w:t>
            </w:r>
          </w:p>
        </w:tc>
        <w:tc>
          <w:tcPr>
            <w:tcW w:w="0" w:type="dxa"/>
            <w:tcBorders>
              <w:top w:val="nil"/>
              <w:left w:val="nil"/>
              <w:bottom w:val="nil"/>
              <w:right w:val="nil"/>
            </w:tcBorders>
            <w:shd w:val="clear" w:color="auto" w:fill="auto"/>
            <w:noWrap/>
            <w:vAlign w:val="bottom"/>
            <w:hideMark/>
          </w:tcPr>
          <w:p w14:paraId="6760BD92"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0,5350</w:t>
            </w:r>
          </w:p>
        </w:tc>
        <w:tc>
          <w:tcPr>
            <w:tcW w:w="0" w:type="dxa"/>
            <w:tcBorders>
              <w:top w:val="nil"/>
              <w:left w:val="nil"/>
              <w:bottom w:val="nil"/>
              <w:right w:val="nil"/>
            </w:tcBorders>
            <w:shd w:val="clear" w:color="auto" w:fill="auto"/>
            <w:noWrap/>
            <w:vAlign w:val="bottom"/>
            <w:hideMark/>
          </w:tcPr>
          <w:p w14:paraId="055581EE"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0,6479</w:t>
            </w:r>
          </w:p>
        </w:tc>
        <w:tc>
          <w:tcPr>
            <w:tcW w:w="0" w:type="dxa"/>
            <w:tcBorders>
              <w:top w:val="nil"/>
              <w:left w:val="nil"/>
              <w:bottom w:val="nil"/>
              <w:right w:val="nil"/>
            </w:tcBorders>
            <w:shd w:val="clear" w:color="auto" w:fill="auto"/>
            <w:noWrap/>
            <w:vAlign w:val="bottom"/>
            <w:hideMark/>
          </w:tcPr>
          <w:p w14:paraId="3C662C8D"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12,65</w:t>
            </w:r>
          </w:p>
        </w:tc>
        <w:tc>
          <w:tcPr>
            <w:tcW w:w="0" w:type="dxa"/>
            <w:tcBorders>
              <w:top w:val="nil"/>
              <w:left w:val="nil"/>
              <w:bottom w:val="nil"/>
              <w:right w:val="nil"/>
            </w:tcBorders>
            <w:shd w:val="clear" w:color="auto" w:fill="auto"/>
            <w:noWrap/>
            <w:vAlign w:val="bottom"/>
            <w:hideMark/>
          </w:tcPr>
          <w:p w14:paraId="36C7F3B1" w14:textId="77777777" w:rsidR="006B566E" w:rsidRPr="00493718" w:rsidRDefault="006B566E" w:rsidP="006B566E">
            <w:pPr>
              <w:keepNext/>
              <w:widowControl/>
              <w:spacing w:line="240" w:lineRule="auto"/>
              <w:ind w:left="-57" w:right="-57"/>
              <w:jc w:val="left"/>
              <w:rPr>
                <w:rFonts w:ascii="Arial" w:hAnsi="Arial" w:cs="Arial"/>
                <w:color w:val="000000"/>
                <w:sz w:val="16"/>
                <w:szCs w:val="16"/>
              </w:rPr>
            </w:pPr>
            <w:r w:rsidRPr="00493718">
              <w:rPr>
                <w:rFonts w:ascii="Arial" w:eastAsia="Calibri" w:hAnsi="Arial" w:cs="Arial"/>
                <w:color w:val="000000"/>
                <w:sz w:val="16"/>
                <w:szCs w:val="16"/>
                <w:lang w:eastAsia="en-US"/>
              </w:rPr>
              <w:t>***</w:t>
            </w:r>
          </w:p>
        </w:tc>
      </w:tr>
      <w:tr w:rsidR="006B566E" w:rsidRPr="00493718" w14:paraId="60B81AD3" w14:textId="77777777" w:rsidTr="00493718">
        <w:trPr>
          <w:trHeight w:val="20"/>
          <w:jc w:val="center"/>
        </w:trPr>
        <w:tc>
          <w:tcPr>
            <w:tcW w:w="0" w:type="dxa"/>
            <w:tcBorders>
              <w:top w:val="nil"/>
              <w:left w:val="nil"/>
              <w:bottom w:val="nil"/>
              <w:right w:val="nil"/>
            </w:tcBorders>
            <w:shd w:val="clear" w:color="auto" w:fill="auto"/>
            <w:noWrap/>
            <w:vAlign w:val="bottom"/>
            <w:hideMark/>
          </w:tcPr>
          <w:p w14:paraId="3CCBBB5B" w14:textId="77777777" w:rsidR="006B566E" w:rsidRPr="00493718" w:rsidRDefault="006B566E" w:rsidP="006B566E">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SEPCADE</w:t>
            </w:r>
          </w:p>
        </w:tc>
        <w:tc>
          <w:tcPr>
            <w:tcW w:w="0" w:type="dxa"/>
            <w:tcBorders>
              <w:top w:val="nil"/>
              <w:left w:val="nil"/>
              <w:bottom w:val="nil"/>
              <w:right w:val="nil"/>
            </w:tcBorders>
            <w:shd w:val="clear" w:color="auto" w:fill="auto"/>
            <w:noWrap/>
            <w:vAlign w:val="bottom"/>
            <w:hideMark/>
          </w:tcPr>
          <w:p w14:paraId="6EDF75C9"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0,8047</w:t>
            </w:r>
          </w:p>
        </w:tc>
        <w:tc>
          <w:tcPr>
            <w:tcW w:w="0" w:type="dxa"/>
            <w:tcBorders>
              <w:top w:val="nil"/>
              <w:left w:val="nil"/>
              <w:bottom w:val="nil"/>
              <w:right w:val="nil"/>
            </w:tcBorders>
            <w:shd w:val="clear" w:color="auto" w:fill="auto"/>
            <w:noWrap/>
            <w:vAlign w:val="bottom"/>
            <w:hideMark/>
          </w:tcPr>
          <w:p w14:paraId="0DB69729"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0,7936</w:t>
            </w:r>
          </w:p>
        </w:tc>
        <w:tc>
          <w:tcPr>
            <w:tcW w:w="0" w:type="dxa"/>
            <w:tcBorders>
              <w:top w:val="nil"/>
              <w:left w:val="nil"/>
              <w:bottom w:val="nil"/>
              <w:right w:val="nil"/>
            </w:tcBorders>
            <w:shd w:val="clear" w:color="auto" w:fill="auto"/>
            <w:noWrap/>
            <w:vAlign w:val="bottom"/>
            <w:hideMark/>
          </w:tcPr>
          <w:p w14:paraId="30D1AC2E"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0,7351</w:t>
            </w:r>
          </w:p>
        </w:tc>
        <w:tc>
          <w:tcPr>
            <w:tcW w:w="0" w:type="dxa"/>
            <w:tcBorders>
              <w:top w:val="nil"/>
              <w:left w:val="nil"/>
              <w:bottom w:val="nil"/>
              <w:right w:val="nil"/>
            </w:tcBorders>
            <w:shd w:val="clear" w:color="auto" w:fill="auto"/>
            <w:noWrap/>
            <w:vAlign w:val="bottom"/>
            <w:hideMark/>
          </w:tcPr>
          <w:p w14:paraId="76C72199"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0,6900</w:t>
            </w:r>
          </w:p>
        </w:tc>
        <w:tc>
          <w:tcPr>
            <w:tcW w:w="0" w:type="dxa"/>
            <w:tcBorders>
              <w:top w:val="nil"/>
              <w:left w:val="nil"/>
              <w:bottom w:val="nil"/>
              <w:right w:val="nil"/>
            </w:tcBorders>
            <w:shd w:val="clear" w:color="auto" w:fill="auto"/>
            <w:noWrap/>
            <w:vAlign w:val="bottom"/>
            <w:hideMark/>
          </w:tcPr>
          <w:p w14:paraId="5060CFF6"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0,7306</w:t>
            </w:r>
          </w:p>
        </w:tc>
        <w:tc>
          <w:tcPr>
            <w:tcW w:w="0" w:type="dxa"/>
            <w:tcBorders>
              <w:top w:val="nil"/>
              <w:left w:val="nil"/>
              <w:bottom w:val="nil"/>
              <w:right w:val="nil"/>
            </w:tcBorders>
            <w:shd w:val="clear" w:color="auto" w:fill="auto"/>
            <w:noWrap/>
            <w:vAlign w:val="bottom"/>
            <w:hideMark/>
          </w:tcPr>
          <w:p w14:paraId="2D16E111"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13,02</w:t>
            </w:r>
          </w:p>
        </w:tc>
        <w:tc>
          <w:tcPr>
            <w:tcW w:w="0" w:type="dxa"/>
            <w:tcBorders>
              <w:top w:val="nil"/>
              <w:left w:val="nil"/>
              <w:bottom w:val="nil"/>
              <w:right w:val="nil"/>
            </w:tcBorders>
            <w:shd w:val="clear" w:color="auto" w:fill="auto"/>
            <w:noWrap/>
            <w:vAlign w:val="bottom"/>
            <w:hideMark/>
          </w:tcPr>
          <w:p w14:paraId="61C514B4" w14:textId="77777777" w:rsidR="006B566E" w:rsidRPr="00493718" w:rsidRDefault="006B566E" w:rsidP="006B566E">
            <w:pPr>
              <w:keepNext/>
              <w:widowControl/>
              <w:spacing w:line="240" w:lineRule="auto"/>
              <w:ind w:left="-57" w:right="-57"/>
              <w:jc w:val="left"/>
              <w:rPr>
                <w:rFonts w:ascii="Arial" w:hAnsi="Arial" w:cs="Arial"/>
                <w:color w:val="000000"/>
                <w:sz w:val="16"/>
                <w:szCs w:val="16"/>
              </w:rPr>
            </w:pPr>
            <w:r w:rsidRPr="00493718">
              <w:rPr>
                <w:rFonts w:ascii="Arial" w:eastAsia="Calibri" w:hAnsi="Arial" w:cs="Arial"/>
                <w:color w:val="000000"/>
                <w:sz w:val="16"/>
                <w:szCs w:val="16"/>
                <w:lang w:eastAsia="en-US"/>
              </w:rPr>
              <w:t>***</w:t>
            </w:r>
          </w:p>
        </w:tc>
      </w:tr>
      <w:tr w:rsidR="006B566E" w:rsidRPr="00493718" w14:paraId="72AB1599" w14:textId="77777777" w:rsidTr="00493718">
        <w:trPr>
          <w:trHeight w:val="20"/>
          <w:jc w:val="center"/>
        </w:trPr>
        <w:tc>
          <w:tcPr>
            <w:tcW w:w="0" w:type="dxa"/>
            <w:tcBorders>
              <w:top w:val="nil"/>
              <w:left w:val="nil"/>
              <w:bottom w:val="single" w:sz="4" w:space="0" w:color="auto"/>
              <w:right w:val="nil"/>
            </w:tcBorders>
            <w:shd w:val="clear" w:color="auto" w:fill="auto"/>
            <w:noWrap/>
            <w:vAlign w:val="bottom"/>
            <w:hideMark/>
          </w:tcPr>
          <w:p w14:paraId="11E9FDE7" w14:textId="77777777" w:rsidR="006B566E" w:rsidRPr="00493718" w:rsidRDefault="006B566E" w:rsidP="006B566E">
            <w:pPr>
              <w:keepNext/>
              <w:widowControl/>
              <w:spacing w:line="240" w:lineRule="auto"/>
              <w:jc w:val="left"/>
              <w:rPr>
                <w:rFonts w:ascii="Arial" w:hAnsi="Arial" w:cs="Arial"/>
                <w:color w:val="000000"/>
                <w:sz w:val="16"/>
                <w:szCs w:val="16"/>
              </w:rPr>
            </w:pPr>
            <w:r w:rsidRPr="00493718">
              <w:rPr>
                <w:rFonts w:ascii="Arial" w:hAnsi="Arial" w:cs="Arial"/>
                <w:color w:val="000000"/>
                <w:sz w:val="16"/>
                <w:szCs w:val="16"/>
              </w:rPr>
              <w:t>REMCA</w:t>
            </w:r>
          </w:p>
        </w:tc>
        <w:tc>
          <w:tcPr>
            <w:tcW w:w="0" w:type="dxa"/>
            <w:tcBorders>
              <w:top w:val="nil"/>
              <w:left w:val="nil"/>
              <w:bottom w:val="single" w:sz="4" w:space="0" w:color="auto"/>
              <w:right w:val="nil"/>
            </w:tcBorders>
            <w:shd w:val="clear" w:color="auto" w:fill="auto"/>
            <w:noWrap/>
            <w:vAlign w:val="bottom"/>
            <w:hideMark/>
          </w:tcPr>
          <w:p w14:paraId="58BE33F3"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0,2809</w:t>
            </w:r>
          </w:p>
        </w:tc>
        <w:tc>
          <w:tcPr>
            <w:tcW w:w="0" w:type="dxa"/>
            <w:tcBorders>
              <w:top w:val="nil"/>
              <w:left w:val="nil"/>
              <w:bottom w:val="single" w:sz="4" w:space="0" w:color="auto"/>
              <w:right w:val="nil"/>
            </w:tcBorders>
            <w:shd w:val="clear" w:color="auto" w:fill="auto"/>
            <w:noWrap/>
            <w:vAlign w:val="bottom"/>
            <w:hideMark/>
          </w:tcPr>
          <w:p w14:paraId="13DBD17D"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0,3052</w:t>
            </w:r>
          </w:p>
        </w:tc>
        <w:tc>
          <w:tcPr>
            <w:tcW w:w="0" w:type="dxa"/>
            <w:tcBorders>
              <w:top w:val="nil"/>
              <w:left w:val="nil"/>
              <w:bottom w:val="single" w:sz="4" w:space="0" w:color="auto"/>
              <w:right w:val="nil"/>
            </w:tcBorders>
            <w:shd w:val="clear" w:color="auto" w:fill="auto"/>
            <w:noWrap/>
            <w:vAlign w:val="bottom"/>
            <w:hideMark/>
          </w:tcPr>
          <w:p w14:paraId="73006493"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0,3014</w:t>
            </w:r>
          </w:p>
        </w:tc>
        <w:tc>
          <w:tcPr>
            <w:tcW w:w="0" w:type="dxa"/>
            <w:tcBorders>
              <w:top w:val="nil"/>
              <w:left w:val="nil"/>
              <w:bottom w:val="single" w:sz="4" w:space="0" w:color="auto"/>
              <w:right w:val="nil"/>
            </w:tcBorders>
            <w:shd w:val="clear" w:color="auto" w:fill="auto"/>
            <w:noWrap/>
            <w:vAlign w:val="bottom"/>
            <w:hideMark/>
          </w:tcPr>
          <w:p w14:paraId="711F5622"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0,2535</w:t>
            </w:r>
          </w:p>
        </w:tc>
        <w:tc>
          <w:tcPr>
            <w:tcW w:w="0" w:type="dxa"/>
            <w:tcBorders>
              <w:top w:val="nil"/>
              <w:left w:val="nil"/>
              <w:bottom w:val="single" w:sz="4" w:space="0" w:color="auto"/>
              <w:right w:val="nil"/>
            </w:tcBorders>
            <w:shd w:val="clear" w:color="auto" w:fill="auto"/>
            <w:noWrap/>
            <w:vAlign w:val="bottom"/>
            <w:hideMark/>
          </w:tcPr>
          <w:p w14:paraId="5A384492" w14:textId="77777777" w:rsidR="006B566E" w:rsidRPr="00493718" w:rsidRDefault="006B566E" w:rsidP="006B566E">
            <w:pPr>
              <w:keepNext/>
              <w:widowControl/>
              <w:spacing w:line="240" w:lineRule="auto"/>
              <w:jc w:val="center"/>
              <w:rPr>
                <w:rFonts w:ascii="Arial" w:hAnsi="Arial" w:cs="Arial"/>
                <w:color w:val="000000"/>
                <w:sz w:val="16"/>
                <w:szCs w:val="16"/>
              </w:rPr>
            </w:pPr>
            <w:r w:rsidRPr="00493718">
              <w:rPr>
                <w:rFonts w:ascii="Arial" w:eastAsia="Calibri" w:hAnsi="Arial" w:cs="Arial"/>
                <w:color w:val="000000"/>
                <w:sz w:val="16"/>
                <w:szCs w:val="16"/>
                <w:lang w:eastAsia="en-US"/>
              </w:rPr>
              <w:t>0,3031</w:t>
            </w:r>
          </w:p>
        </w:tc>
        <w:tc>
          <w:tcPr>
            <w:tcW w:w="0" w:type="dxa"/>
            <w:tcBorders>
              <w:top w:val="nil"/>
              <w:left w:val="nil"/>
              <w:bottom w:val="single" w:sz="4" w:space="0" w:color="auto"/>
              <w:right w:val="nil"/>
            </w:tcBorders>
            <w:shd w:val="clear" w:color="auto" w:fill="auto"/>
            <w:noWrap/>
            <w:vAlign w:val="bottom"/>
            <w:hideMark/>
          </w:tcPr>
          <w:p w14:paraId="3BAB765F"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1,50</w:t>
            </w:r>
          </w:p>
        </w:tc>
        <w:tc>
          <w:tcPr>
            <w:tcW w:w="0" w:type="dxa"/>
            <w:tcBorders>
              <w:top w:val="nil"/>
              <w:left w:val="nil"/>
              <w:bottom w:val="single" w:sz="4" w:space="0" w:color="auto"/>
              <w:right w:val="nil"/>
            </w:tcBorders>
            <w:shd w:val="clear" w:color="auto" w:fill="auto"/>
            <w:noWrap/>
            <w:vAlign w:val="bottom"/>
            <w:hideMark/>
          </w:tcPr>
          <w:p w14:paraId="3BE8F27A" w14:textId="77777777" w:rsidR="006B566E" w:rsidRPr="00493718" w:rsidRDefault="006B566E" w:rsidP="006B566E">
            <w:pPr>
              <w:keepNext/>
              <w:widowControl/>
              <w:spacing w:line="240" w:lineRule="auto"/>
              <w:ind w:left="-57" w:right="-57"/>
              <w:jc w:val="right"/>
              <w:rPr>
                <w:rFonts w:ascii="Arial" w:hAnsi="Arial" w:cs="Arial"/>
                <w:color w:val="000000"/>
                <w:sz w:val="16"/>
                <w:szCs w:val="16"/>
              </w:rPr>
            </w:pPr>
            <w:r w:rsidRPr="00493718">
              <w:rPr>
                <w:rFonts w:ascii="Arial" w:eastAsia="Calibri" w:hAnsi="Arial" w:cs="Arial"/>
                <w:color w:val="000000"/>
                <w:sz w:val="16"/>
                <w:szCs w:val="16"/>
                <w:lang w:eastAsia="en-US"/>
              </w:rPr>
              <w:t> </w:t>
            </w:r>
          </w:p>
        </w:tc>
      </w:tr>
    </w:tbl>
    <w:p w14:paraId="28688246" w14:textId="77777777" w:rsidR="006B566E" w:rsidRPr="006B566E" w:rsidRDefault="006B566E" w:rsidP="00493718">
      <w:pPr>
        <w:widowControl/>
        <w:spacing w:before="40" w:after="240" w:line="240" w:lineRule="auto"/>
        <w:rPr>
          <w:rFonts w:ascii="Arial" w:eastAsia="Calibri" w:hAnsi="Arial" w:cs="Arial"/>
          <w:sz w:val="16"/>
          <w:szCs w:val="16"/>
          <w:lang w:eastAsia="en-US"/>
        </w:rPr>
      </w:pPr>
      <w:r w:rsidRPr="006B566E">
        <w:rPr>
          <w:rFonts w:ascii="Arial" w:eastAsia="Calibri" w:hAnsi="Arial" w:cs="Arial"/>
          <w:sz w:val="16"/>
          <w:szCs w:val="16"/>
          <w:lang w:eastAsia="en-US"/>
        </w:rPr>
        <w:t xml:space="preserve">Escores médios das características da administração de acordo com o tipo de controle acionário da empresa. </w:t>
      </w:r>
      <w:r w:rsidRPr="006B566E">
        <w:rPr>
          <w:rFonts w:ascii="Arial" w:eastAsia="Calibri" w:hAnsi="Arial" w:cs="Arial"/>
          <w:b/>
          <w:sz w:val="16"/>
          <w:szCs w:val="16"/>
          <w:lang w:eastAsia="en-US"/>
        </w:rPr>
        <w:t xml:space="preserve">Características da administração mensuradas por escores fatoriais: </w:t>
      </w:r>
      <w:r w:rsidRPr="006B566E">
        <w:rPr>
          <w:rFonts w:ascii="Arial" w:eastAsia="Calibri" w:hAnsi="Arial" w:cs="Arial"/>
          <w:sz w:val="16"/>
          <w:szCs w:val="16"/>
          <w:lang w:eastAsia="en-US"/>
        </w:rPr>
        <w:t xml:space="preserve">Remuneração da diretoria executiva (REMDE); Independência dos administradores (INDEP); Avaliação dos administradores (AVAL); Separação entre órgãos da administração (SEPCADE); Remuneração do conselho de administração (REMCA). </w:t>
      </w:r>
      <w:r w:rsidRPr="006B566E">
        <w:rPr>
          <w:rFonts w:ascii="Arial" w:eastAsia="Calibri" w:hAnsi="Arial" w:cs="Arial"/>
          <w:b/>
          <w:sz w:val="16"/>
          <w:szCs w:val="16"/>
          <w:lang w:eastAsia="en-US"/>
        </w:rPr>
        <w:t xml:space="preserve">Tipo de controle acionário: </w:t>
      </w:r>
      <w:r w:rsidRPr="006B566E">
        <w:rPr>
          <w:rFonts w:ascii="Arial" w:eastAsia="Calibri" w:hAnsi="Arial" w:cs="Arial"/>
          <w:sz w:val="16"/>
          <w:szCs w:val="16"/>
          <w:lang w:eastAsia="en-US"/>
        </w:rPr>
        <w:t xml:space="preserve">Disperso (DISP); Compartilhado (COMP); Familiar (FAM); Empresarial (EMP); Governamental (GOV). </w:t>
      </w:r>
      <w:r w:rsidRPr="006B566E">
        <w:rPr>
          <w:rFonts w:ascii="Arial" w:eastAsia="Calibri" w:hAnsi="Arial" w:cs="Arial"/>
          <w:b/>
          <w:sz w:val="16"/>
          <w:szCs w:val="16"/>
          <w:lang w:eastAsia="en-US"/>
        </w:rPr>
        <w:t>Significância estatística:</w:t>
      </w:r>
      <w:r w:rsidRPr="006B566E">
        <w:rPr>
          <w:rFonts w:ascii="Arial" w:eastAsia="Calibri" w:hAnsi="Arial" w:cs="Arial"/>
          <w:sz w:val="16"/>
          <w:szCs w:val="16"/>
          <w:lang w:eastAsia="en-US"/>
        </w:rPr>
        <w:t xml:space="preserve"> p-valor menor do que 1% (***).</w:t>
      </w:r>
    </w:p>
    <w:p w14:paraId="4C5A7C4A" w14:textId="77777777" w:rsidR="006B566E" w:rsidRDefault="006B566E" w:rsidP="00493718">
      <w:pPr>
        <w:widowControl/>
        <w:spacing w:before="240" w:after="240" w:line="240" w:lineRule="auto"/>
        <w:ind w:firstLine="709"/>
        <w:rPr>
          <w:rFonts w:ascii="Arial" w:eastAsia="Calibri" w:hAnsi="Arial" w:cs="Arial"/>
          <w:sz w:val="18"/>
          <w:szCs w:val="18"/>
          <w:lang w:eastAsia="en-US"/>
        </w:rPr>
      </w:pPr>
      <w:r w:rsidRPr="00493718">
        <w:rPr>
          <w:rFonts w:ascii="Arial" w:eastAsia="Calibri" w:hAnsi="Arial" w:cs="Arial"/>
          <w:sz w:val="18"/>
          <w:szCs w:val="18"/>
          <w:lang w:eastAsia="en-US"/>
        </w:rPr>
        <w:t xml:space="preserve">Na Tabela 8 são mostrados os resultados das estimações em que se analisou a relação entre controle acionário e características da administração. Os achados suportam a hipótese de que o </w:t>
      </w:r>
      <w:r w:rsidRPr="00493718">
        <w:rPr>
          <w:rFonts w:ascii="Arial" w:eastAsia="Calibri" w:hAnsi="Arial" w:cs="Arial"/>
          <w:sz w:val="18"/>
          <w:szCs w:val="18"/>
          <w:lang w:eastAsia="en-US"/>
        </w:rPr>
        <w:lastRenderedPageBreak/>
        <w:t>tipo de controle acionário está relacionado com as características do conselho de administração e da diretoria executiva das empresas brasileiras de capital aberto. Das cinco características analisadas, apenas a remuneração do conselho de administração não apresentou relação estatisticamente significante com o tipo de controle acionário, corroborando a análise da variância (Tabela 7).</w:t>
      </w:r>
    </w:p>
    <w:p w14:paraId="465EF9F3" w14:textId="77777777" w:rsidR="00211989" w:rsidRPr="006B566E" w:rsidRDefault="00211989" w:rsidP="00211989">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8</w:t>
      </w:r>
    </w:p>
    <w:p w14:paraId="44A7BBAA" w14:textId="77777777" w:rsidR="006B566E" w:rsidRPr="006B566E" w:rsidRDefault="00211989" w:rsidP="00211989">
      <w:pPr>
        <w:keepNext/>
        <w:keepLines/>
        <w:widowControl/>
        <w:spacing w:line="240" w:lineRule="auto"/>
        <w:jc w:val="left"/>
        <w:outlineLvl w:val="2"/>
        <w:rPr>
          <w:rFonts w:ascii="Arial" w:hAnsi="Arial" w:cs="Arial"/>
          <w:bCs/>
          <w:sz w:val="18"/>
          <w:szCs w:val="18"/>
          <w:lang w:eastAsia="en-US"/>
        </w:rPr>
      </w:pPr>
      <w:r w:rsidRPr="006B566E">
        <w:rPr>
          <w:rFonts w:ascii="Arial" w:hAnsi="Arial" w:cs="Arial"/>
          <w:bCs/>
          <w:sz w:val="18"/>
          <w:szCs w:val="18"/>
          <w:lang w:eastAsia="en-US"/>
        </w:rPr>
        <w:t>Controle acionário e características da administração</w:t>
      </w:r>
    </w:p>
    <w:tbl>
      <w:tblPr>
        <w:tblW w:w="7938"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53"/>
        <w:gridCol w:w="854"/>
        <w:gridCol w:w="357"/>
        <w:gridCol w:w="855"/>
        <w:gridCol w:w="357"/>
        <w:gridCol w:w="855"/>
        <w:gridCol w:w="357"/>
        <w:gridCol w:w="949"/>
        <w:gridCol w:w="479"/>
        <w:gridCol w:w="746"/>
        <w:gridCol w:w="376"/>
      </w:tblGrid>
      <w:tr w:rsidR="006B566E" w:rsidRPr="000879E7" w14:paraId="21EFF028" w14:textId="77777777" w:rsidTr="007352CD">
        <w:trPr>
          <w:trHeight w:val="20"/>
          <w:jc w:val="center"/>
        </w:trPr>
        <w:tc>
          <w:tcPr>
            <w:tcW w:w="1753" w:type="dxa"/>
            <w:vMerge w:val="restart"/>
            <w:tcBorders>
              <w:top w:val="single" w:sz="4" w:space="0" w:color="auto"/>
              <w:bottom w:val="single" w:sz="4" w:space="0" w:color="auto"/>
            </w:tcBorders>
            <w:shd w:val="clear" w:color="auto" w:fill="auto"/>
            <w:noWrap/>
            <w:vAlign w:val="center"/>
          </w:tcPr>
          <w:p w14:paraId="71D7412C" w14:textId="77777777" w:rsidR="006B566E" w:rsidRPr="000879E7" w:rsidRDefault="006B566E" w:rsidP="006B566E">
            <w:pPr>
              <w:keepNext/>
              <w:widowControl/>
              <w:spacing w:line="240" w:lineRule="auto"/>
              <w:jc w:val="center"/>
              <w:rPr>
                <w:rFonts w:ascii="Arial" w:hAnsi="Arial" w:cs="Arial"/>
                <w:b/>
                <w:bCs/>
                <w:color w:val="000000"/>
                <w:sz w:val="14"/>
                <w:szCs w:val="14"/>
              </w:rPr>
            </w:pPr>
            <w:r w:rsidRPr="000879E7">
              <w:rPr>
                <w:rFonts w:ascii="Arial" w:hAnsi="Arial" w:cs="Arial"/>
                <w:b/>
                <w:bCs/>
                <w:color w:val="000000"/>
                <w:sz w:val="14"/>
                <w:szCs w:val="14"/>
              </w:rPr>
              <w:t>Variáveis explicativas</w:t>
            </w:r>
          </w:p>
        </w:tc>
        <w:tc>
          <w:tcPr>
            <w:tcW w:w="6185" w:type="dxa"/>
            <w:gridSpan w:val="10"/>
            <w:tcBorders>
              <w:top w:val="single" w:sz="4" w:space="0" w:color="auto"/>
              <w:bottom w:val="single" w:sz="4" w:space="0" w:color="auto"/>
            </w:tcBorders>
            <w:shd w:val="clear" w:color="auto" w:fill="auto"/>
            <w:vAlign w:val="center"/>
          </w:tcPr>
          <w:p w14:paraId="69EC1BB5"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Variável dependente:</w:t>
            </w:r>
          </w:p>
        </w:tc>
      </w:tr>
      <w:tr w:rsidR="006B566E" w:rsidRPr="000879E7" w14:paraId="15D73147" w14:textId="77777777" w:rsidTr="00A54CC4">
        <w:trPr>
          <w:trHeight w:val="20"/>
          <w:jc w:val="center"/>
        </w:trPr>
        <w:tc>
          <w:tcPr>
            <w:tcW w:w="1753" w:type="dxa"/>
            <w:vMerge/>
            <w:tcBorders>
              <w:top w:val="nil"/>
              <w:bottom w:val="single" w:sz="4" w:space="0" w:color="auto"/>
            </w:tcBorders>
            <w:shd w:val="clear" w:color="auto" w:fill="auto"/>
            <w:noWrap/>
            <w:vAlign w:val="bottom"/>
            <w:hideMark/>
          </w:tcPr>
          <w:p w14:paraId="0CDCFC9C" w14:textId="77777777" w:rsidR="006B566E" w:rsidRPr="000879E7" w:rsidRDefault="006B566E" w:rsidP="006B566E">
            <w:pPr>
              <w:keepNext/>
              <w:widowControl/>
              <w:spacing w:line="240" w:lineRule="auto"/>
              <w:jc w:val="left"/>
              <w:rPr>
                <w:rFonts w:ascii="Arial" w:hAnsi="Arial" w:cs="Arial"/>
                <w:b/>
                <w:bCs/>
                <w:color w:val="000000"/>
                <w:sz w:val="14"/>
                <w:szCs w:val="14"/>
              </w:rPr>
            </w:pPr>
          </w:p>
        </w:tc>
        <w:tc>
          <w:tcPr>
            <w:tcW w:w="1211" w:type="dxa"/>
            <w:gridSpan w:val="2"/>
            <w:tcBorders>
              <w:top w:val="single" w:sz="4" w:space="0" w:color="auto"/>
              <w:bottom w:val="single" w:sz="4" w:space="0" w:color="auto"/>
            </w:tcBorders>
            <w:shd w:val="clear" w:color="auto" w:fill="auto"/>
            <w:noWrap/>
            <w:vAlign w:val="bottom"/>
            <w:hideMark/>
          </w:tcPr>
          <w:p w14:paraId="14D3AA7E"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REMDE</w:t>
            </w:r>
          </w:p>
        </w:tc>
        <w:tc>
          <w:tcPr>
            <w:tcW w:w="1212" w:type="dxa"/>
            <w:gridSpan w:val="2"/>
            <w:tcBorders>
              <w:top w:val="single" w:sz="4" w:space="0" w:color="auto"/>
              <w:bottom w:val="single" w:sz="4" w:space="0" w:color="auto"/>
            </w:tcBorders>
            <w:shd w:val="clear" w:color="auto" w:fill="auto"/>
            <w:noWrap/>
            <w:vAlign w:val="bottom"/>
            <w:hideMark/>
          </w:tcPr>
          <w:p w14:paraId="174051A2"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INDEP</w:t>
            </w:r>
          </w:p>
        </w:tc>
        <w:tc>
          <w:tcPr>
            <w:tcW w:w="1212" w:type="dxa"/>
            <w:gridSpan w:val="2"/>
            <w:tcBorders>
              <w:top w:val="single" w:sz="4" w:space="0" w:color="auto"/>
              <w:bottom w:val="single" w:sz="4" w:space="0" w:color="auto"/>
            </w:tcBorders>
            <w:shd w:val="clear" w:color="auto" w:fill="auto"/>
            <w:noWrap/>
            <w:vAlign w:val="bottom"/>
            <w:hideMark/>
          </w:tcPr>
          <w:p w14:paraId="19886DA0"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AVAL</w:t>
            </w:r>
          </w:p>
        </w:tc>
        <w:tc>
          <w:tcPr>
            <w:tcW w:w="1428" w:type="dxa"/>
            <w:gridSpan w:val="2"/>
            <w:tcBorders>
              <w:top w:val="single" w:sz="4" w:space="0" w:color="auto"/>
              <w:bottom w:val="single" w:sz="4" w:space="0" w:color="auto"/>
            </w:tcBorders>
            <w:shd w:val="clear" w:color="auto" w:fill="auto"/>
            <w:noWrap/>
            <w:vAlign w:val="bottom"/>
            <w:hideMark/>
          </w:tcPr>
          <w:p w14:paraId="21E24854"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SEPCADE</w:t>
            </w:r>
          </w:p>
        </w:tc>
        <w:tc>
          <w:tcPr>
            <w:tcW w:w="1122" w:type="dxa"/>
            <w:gridSpan w:val="2"/>
            <w:tcBorders>
              <w:top w:val="single" w:sz="4" w:space="0" w:color="auto"/>
              <w:bottom w:val="single" w:sz="4" w:space="0" w:color="auto"/>
            </w:tcBorders>
            <w:shd w:val="clear" w:color="auto" w:fill="auto"/>
            <w:noWrap/>
            <w:vAlign w:val="bottom"/>
            <w:hideMark/>
          </w:tcPr>
          <w:p w14:paraId="00FD70A6" w14:textId="77777777" w:rsidR="006B566E" w:rsidRPr="000879E7" w:rsidRDefault="006B566E" w:rsidP="006B566E">
            <w:pPr>
              <w:keepNext/>
              <w:widowControl/>
              <w:spacing w:line="240" w:lineRule="auto"/>
              <w:ind w:left="-57"/>
              <w:jc w:val="center"/>
              <w:rPr>
                <w:rFonts w:ascii="Arial" w:hAnsi="Arial" w:cs="Arial"/>
                <w:b/>
                <w:bCs/>
                <w:color w:val="000000"/>
                <w:sz w:val="14"/>
                <w:szCs w:val="14"/>
              </w:rPr>
            </w:pPr>
            <w:r w:rsidRPr="000879E7">
              <w:rPr>
                <w:rFonts w:ascii="Arial" w:hAnsi="Arial" w:cs="Arial"/>
                <w:b/>
                <w:bCs/>
                <w:color w:val="000000"/>
                <w:sz w:val="14"/>
                <w:szCs w:val="14"/>
              </w:rPr>
              <w:t>REMCA</w:t>
            </w:r>
          </w:p>
        </w:tc>
      </w:tr>
      <w:tr w:rsidR="006B566E" w:rsidRPr="000879E7" w14:paraId="7D2B4D69" w14:textId="77777777" w:rsidTr="00A54CC4">
        <w:trPr>
          <w:trHeight w:val="20"/>
          <w:jc w:val="center"/>
        </w:trPr>
        <w:tc>
          <w:tcPr>
            <w:tcW w:w="7938" w:type="dxa"/>
            <w:gridSpan w:val="11"/>
            <w:tcBorders>
              <w:top w:val="single" w:sz="4" w:space="0" w:color="auto"/>
              <w:bottom w:val="single" w:sz="4" w:space="0" w:color="auto"/>
            </w:tcBorders>
            <w:shd w:val="clear" w:color="auto" w:fill="auto"/>
            <w:noWrap/>
            <w:vAlign w:val="bottom"/>
          </w:tcPr>
          <w:p w14:paraId="7B8A2145" w14:textId="77777777" w:rsidR="006B566E" w:rsidRPr="001E4794" w:rsidRDefault="006B566E" w:rsidP="006B566E">
            <w:pPr>
              <w:keepNext/>
              <w:widowControl/>
              <w:spacing w:line="240" w:lineRule="auto"/>
              <w:jc w:val="left"/>
              <w:rPr>
                <w:rFonts w:ascii="Arial" w:hAnsi="Arial" w:cs="Arial"/>
                <w:b/>
                <w:bCs/>
                <w:color w:val="000000"/>
                <w:sz w:val="14"/>
                <w:szCs w:val="14"/>
              </w:rPr>
            </w:pPr>
            <w:r w:rsidRPr="001E4794">
              <w:rPr>
                <w:rFonts w:ascii="Arial" w:hAnsi="Arial" w:cs="Arial"/>
                <w:bCs/>
                <w:color w:val="000000"/>
                <w:sz w:val="14"/>
                <w:szCs w:val="14"/>
              </w:rPr>
              <w:t>PAINEL A – CONTROLE DISPERSO (DISP)</w:t>
            </w:r>
          </w:p>
        </w:tc>
      </w:tr>
      <w:tr w:rsidR="006B566E" w:rsidRPr="000879E7" w14:paraId="1FC71BB9" w14:textId="77777777" w:rsidTr="00A54CC4">
        <w:trPr>
          <w:trHeight w:val="20"/>
          <w:jc w:val="center"/>
        </w:trPr>
        <w:tc>
          <w:tcPr>
            <w:tcW w:w="1753" w:type="dxa"/>
            <w:tcBorders>
              <w:top w:val="single" w:sz="4" w:space="0" w:color="auto"/>
            </w:tcBorders>
            <w:shd w:val="clear" w:color="auto" w:fill="auto"/>
            <w:noWrap/>
            <w:vAlign w:val="bottom"/>
            <w:hideMark/>
          </w:tcPr>
          <w:p w14:paraId="0145A89D" w14:textId="77777777" w:rsidR="006B566E" w:rsidRPr="000879E7" w:rsidRDefault="006B566E" w:rsidP="006B566E">
            <w:pPr>
              <w:keepNext/>
              <w:widowControl/>
              <w:spacing w:line="240" w:lineRule="auto"/>
              <w:jc w:val="left"/>
              <w:rPr>
                <w:rFonts w:ascii="Arial" w:hAnsi="Arial" w:cs="Arial"/>
                <w:color w:val="000000"/>
                <w:sz w:val="14"/>
                <w:szCs w:val="14"/>
              </w:rPr>
            </w:pPr>
            <w:r w:rsidRPr="000879E7">
              <w:rPr>
                <w:rFonts w:ascii="Arial" w:hAnsi="Arial" w:cs="Arial"/>
                <w:color w:val="000000"/>
                <w:sz w:val="14"/>
                <w:szCs w:val="14"/>
              </w:rPr>
              <w:t>DISP</w:t>
            </w:r>
          </w:p>
        </w:tc>
        <w:tc>
          <w:tcPr>
            <w:tcW w:w="854" w:type="dxa"/>
            <w:tcBorders>
              <w:top w:val="single" w:sz="4" w:space="0" w:color="auto"/>
            </w:tcBorders>
            <w:shd w:val="clear" w:color="auto" w:fill="auto"/>
            <w:noWrap/>
            <w:vAlign w:val="bottom"/>
            <w:hideMark/>
          </w:tcPr>
          <w:p w14:paraId="68623F10"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0,075</w:t>
            </w:r>
          </w:p>
        </w:tc>
        <w:tc>
          <w:tcPr>
            <w:tcW w:w="357" w:type="dxa"/>
            <w:tcBorders>
              <w:top w:val="single" w:sz="4" w:space="0" w:color="auto"/>
            </w:tcBorders>
            <w:shd w:val="clear" w:color="auto" w:fill="auto"/>
            <w:noWrap/>
            <w:vAlign w:val="bottom"/>
            <w:hideMark/>
          </w:tcPr>
          <w:p w14:paraId="1C1A3337"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tcBorders>
              <w:top w:val="single" w:sz="4" w:space="0" w:color="auto"/>
            </w:tcBorders>
            <w:shd w:val="clear" w:color="auto" w:fill="auto"/>
            <w:noWrap/>
            <w:vAlign w:val="bottom"/>
            <w:hideMark/>
          </w:tcPr>
          <w:p w14:paraId="342B8139"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0,453</w:t>
            </w:r>
          </w:p>
        </w:tc>
        <w:tc>
          <w:tcPr>
            <w:tcW w:w="357" w:type="dxa"/>
            <w:tcBorders>
              <w:top w:val="single" w:sz="4" w:space="0" w:color="auto"/>
            </w:tcBorders>
            <w:shd w:val="clear" w:color="auto" w:fill="auto"/>
            <w:noWrap/>
            <w:vAlign w:val="bottom"/>
            <w:hideMark/>
          </w:tcPr>
          <w:p w14:paraId="0409430C"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tcBorders>
              <w:top w:val="single" w:sz="4" w:space="0" w:color="auto"/>
            </w:tcBorders>
            <w:shd w:val="clear" w:color="auto" w:fill="auto"/>
            <w:noWrap/>
            <w:vAlign w:val="bottom"/>
            <w:hideMark/>
          </w:tcPr>
          <w:p w14:paraId="725DE6F1"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0,000</w:t>
            </w:r>
          </w:p>
        </w:tc>
        <w:tc>
          <w:tcPr>
            <w:tcW w:w="357" w:type="dxa"/>
            <w:tcBorders>
              <w:top w:val="single" w:sz="4" w:space="0" w:color="auto"/>
            </w:tcBorders>
            <w:shd w:val="clear" w:color="auto" w:fill="auto"/>
            <w:noWrap/>
            <w:vAlign w:val="bottom"/>
            <w:hideMark/>
          </w:tcPr>
          <w:p w14:paraId="1771A59D"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c>
          <w:tcPr>
            <w:tcW w:w="949" w:type="dxa"/>
            <w:tcBorders>
              <w:top w:val="single" w:sz="4" w:space="0" w:color="auto"/>
            </w:tcBorders>
            <w:shd w:val="clear" w:color="auto" w:fill="auto"/>
            <w:noWrap/>
            <w:vAlign w:val="bottom"/>
            <w:hideMark/>
          </w:tcPr>
          <w:p w14:paraId="7DEB2776"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0,062</w:t>
            </w:r>
          </w:p>
        </w:tc>
        <w:tc>
          <w:tcPr>
            <w:tcW w:w="479" w:type="dxa"/>
            <w:tcBorders>
              <w:top w:val="single" w:sz="4" w:space="0" w:color="auto"/>
            </w:tcBorders>
            <w:shd w:val="clear" w:color="auto" w:fill="auto"/>
            <w:noWrap/>
            <w:vAlign w:val="bottom"/>
            <w:hideMark/>
          </w:tcPr>
          <w:p w14:paraId="4155D93F"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746" w:type="dxa"/>
            <w:tcBorders>
              <w:top w:val="single" w:sz="4" w:space="0" w:color="auto"/>
            </w:tcBorders>
            <w:shd w:val="clear" w:color="auto" w:fill="auto"/>
            <w:noWrap/>
            <w:vAlign w:val="bottom"/>
            <w:hideMark/>
          </w:tcPr>
          <w:p w14:paraId="157C17A3"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0,004</w:t>
            </w:r>
          </w:p>
        </w:tc>
        <w:tc>
          <w:tcPr>
            <w:tcW w:w="376" w:type="dxa"/>
            <w:tcBorders>
              <w:top w:val="single" w:sz="4" w:space="0" w:color="auto"/>
            </w:tcBorders>
            <w:shd w:val="clear" w:color="auto" w:fill="auto"/>
            <w:noWrap/>
            <w:vAlign w:val="bottom"/>
            <w:hideMark/>
          </w:tcPr>
          <w:p w14:paraId="54A38235"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r>
      <w:tr w:rsidR="006B566E" w:rsidRPr="000879E7" w14:paraId="5053FF27" w14:textId="77777777" w:rsidTr="007352CD">
        <w:trPr>
          <w:trHeight w:val="20"/>
          <w:jc w:val="center"/>
        </w:trPr>
        <w:tc>
          <w:tcPr>
            <w:tcW w:w="1753" w:type="dxa"/>
            <w:shd w:val="clear" w:color="auto" w:fill="auto"/>
            <w:noWrap/>
            <w:vAlign w:val="bottom"/>
            <w:hideMark/>
          </w:tcPr>
          <w:p w14:paraId="347F5456" w14:textId="77777777" w:rsidR="006B566E" w:rsidRPr="000879E7" w:rsidRDefault="006B566E" w:rsidP="006B566E">
            <w:pPr>
              <w:keepNext/>
              <w:widowControl/>
              <w:spacing w:line="240" w:lineRule="auto"/>
              <w:jc w:val="left"/>
              <w:rPr>
                <w:rFonts w:ascii="Arial" w:hAnsi="Arial" w:cs="Arial"/>
                <w:sz w:val="14"/>
                <w:szCs w:val="14"/>
              </w:rPr>
            </w:pPr>
          </w:p>
        </w:tc>
        <w:tc>
          <w:tcPr>
            <w:tcW w:w="1211" w:type="dxa"/>
            <w:gridSpan w:val="2"/>
            <w:shd w:val="clear" w:color="auto" w:fill="auto"/>
            <w:noWrap/>
            <w:vAlign w:val="bottom"/>
            <w:hideMark/>
          </w:tcPr>
          <w:p w14:paraId="13D32FB3"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(0,020)</w:t>
            </w:r>
          </w:p>
        </w:tc>
        <w:tc>
          <w:tcPr>
            <w:tcW w:w="1212" w:type="dxa"/>
            <w:gridSpan w:val="2"/>
            <w:shd w:val="clear" w:color="auto" w:fill="auto"/>
            <w:noWrap/>
            <w:vAlign w:val="bottom"/>
            <w:hideMark/>
          </w:tcPr>
          <w:p w14:paraId="27D9B24E"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(0,016)</w:t>
            </w:r>
          </w:p>
        </w:tc>
        <w:tc>
          <w:tcPr>
            <w:tcW w:w="1212" w:type="dxa"/>
            <w:gridSpan w:val="2"/>
            <w:shd w:val="clear" w:color="auto" w:fill="auto"/>
            <w:noWrap/>
            <w:vAlign w:val="bottom"/>
            <w:hideMark/>
          </w:tcPr>
          <w:p w14:paraId="659A30BA"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(0,027)</w:t>
            </w:r>
          </w:p>
        </w:tc>
        <w:tc>
          <w:tcPr>
            <w:tcW w:w="1428" w:type="dxa"/>
            <w:gridSpan w:val="2"/>
            <w:shd w:val="clear" w:color="auto" w:fill="auto"/>
            <w:noWrap/>
            <w:vAlign w:val="bottom"/>
            <w:hideMark/>
          </w:tcPr>
          <w:p w14:paraId="674C39F7"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(0,016)</w:t>
            </w:r>
          </w:p>
        </w:tc>
        <w:tc>
          <w:tcPr>
            <w:tcW w:w="1122" w:type="dxa"/>
            <w:gridSpan w:val="2"/>
            <w:shd w:val="clear" w:color="auto" w:fill="auto"/>
            <w:noWrap/>
            <w:vAlign w:val="bottom"/>
            <w:hideMark/>
          </w:tcPr>
          <w:p w14:paraId="7258B63C"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(0,022)</w:t>
            </w:r>
          </w:p>
        </w:tc>
      </w:tr>
      <w:tr w:rsidR="006B566E" w:rsidRPr="000879E7" w14:paraId="0EC943CD" w14:textId="77777777" w:rsidTr="007352CD">
        <w:trPr>
          <w:trHeight w:val="20"/>
          <w:jc w:val="center"/>
        </w:trPr>
        <w:tc>
          <w:tcPr>
            <w:tcW w:w="1753" w:type="dxa"/>
            <w:shd w:val="clear" w:color="auto" w:fill="auto"/>
            <w:noWrap/>
            <w:vAlign w:val="bottom"/>
            <w:hideMark/>
          </w:tcPr>
          <w:p w14:paraId="41704F9D" w14:textId="77777777" w:rsidR="006B566E" w:rsidRPr="000879E7" w:rsidRDefault="006B566E" w:rsidP="006B566E">
            <w:pPr>
              <w:keepNext/>
              <w:widowControl/>
              <w:spacing w:line="240" w:lineRule="auto"/>
              <w:jc w:val="left"/>
              <w:rPr>
                <w:rFonts w:ascii="Arial" w:hAnsi="Arial" w:cs="Arial"/>
                <w:color w:val="000000"/>
                <w:sz w:val="14"/>
                <w:szCs w:val="14"/>
              </w:rPr>
            </w:pPr>
            <w:r w:rsidRPr="000879E7">
              <w:rPr>
                <w:rFonts w:ascii="Arial" w:hAnsi="Arial" w:cs="Arial"/>
                <w:color w:val="000000"/>
                <w:sz w:val="14"/>
                <w:szCs w:val="14"/>
              </w:rPr>
              <w:t>L.TAM</w:t>
            </w:r>
          </w:p>
        </w:tc>
        <w:tc>
          <w:tcPr>
            <w:tcW w:w="854" w:type="dxa"/>
            <w:shd w:val="clear" w:color="auto" w:fill="auto"/>
            <w:noWrap/>
            <w:vAlign w:val="bottom"/>
            <w:hideMark/>
          </w:tcPr>
          <w:p w14:paraId="0CAB08B7"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0,055</w:t>
            </w:r>
          </w:p>
        </w:tc>
        <w:tc>
          <w:tcPr>
            <w:tcW w:w="357" w:type="dxa"/>
            <w:shd w:val="clear" w:color="auto" w:fill="auto"/>
            <w:noWrap/>
            <w:vAlign w:val="bottom"/>
            <w:hideMark/>
          </w:tcPr>
          <w:p w14:paraId="1879FD52"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shd w:val="clear" w:color="auto" w:fill="auto"/>
            <w:noWrap/>
            <w:vAlign w:val="bottom"/>
            <w:hideMark/>
          </w:tcPr>
          <w:p w14:paraId="1AF7E60B"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0,009</w:t>
            </w:r>
          </w:p>
        </w:tc>
        <w:tc>
          <w:tcPr>
            <w:tcW w:w="357" w:type="dxa"/>
            <w:shd w:val="clear" w:color="auto" w:fill="auto"/>
            <w:noWrap/>
            <w:vAlign w:val="bottom"/>
            <w:hideMark/>
          </w:tcPr>
          <w:p w14:paraId="3340F0C4"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shd w:val="clear" w:color="auto" w:fill="auto"/>
            <w:noWrap/>
            <w:vAlign w:val="bottom"/>
            <w:hideMark/>
          </w:tcPr>
          <w:p w14:paraId="5D614E97"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0,030</w:t>
            </w:r>
          </w:p>
        </w:tc>
        <w:tc>
          <w:tcPr>
            <w:tcW w:w="357" w:type="dxa"/>
            <w:shd w:val="clear" w:color="auto" w:fill="auto"/>
            <w:noWrap/>
            <w:vAlign w:val="bottom"/>
            <w:hideMark/>
          </w:tcPr>
          <w:p w14:paraId="7910EA51"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949" w:type="dxa"/>
            <w:shd w:val="clear" w:color="auto" w:fill="auto"/>
            <w:noWrap/>
            <w:vAlign w:val="bottom"/>
            <w:hideMark/>
          </w:tcPr>
          <w:p w14:paraId="18FA221C"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0,008</w:t>
            </w:r>
          </w:p>
        </w:tc>
        <w:tc>
          <w:tcPr>
            <w:tcW w:w="479" w:type="dxa"/>
            <w:shd w:val="clear" w:color="auto" w:fill="auto"/>
            <w:noWrap/>
            <w:vAlign w:val="bottom"/>
            <w:hideMark/>
          </w:tcPr>
          <w:p w14:paraId="4EFB493D"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746" w:type="dxa"/>
            <w:shd w:val="clear" w:color="auto" w:fill="auto"/>
            <w:noWrap/>
            <w:vAlign w:val="bottom"/>
            <w:hideMark/>
          </w:tcPr>
          <w:p w14:paraId="1935846D"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0,010</w:t>
            </w:r>
          </w:p>
        </w:tc>
        <w:tc>
          <w:tcPr>
            <w:tcW w:w="376" w:type="dxa"/>
            <w:shd w:val="clear" w:color="auto" w:fill="auto"/>
            <w:noWrap/>
            <w:vAlign w:val="bottom"/>
            <w:hideMark/>
          </w:tcPr>
          <w:p w14:paraId="35260637"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r>
      <w:tr w:rsidR="006B566E" w:rsidRPr="000879E7" w14:paraId="4D5778B6" w14:textId="77777777" w:rsidTr="007352CD">
        <w:trPr>
          <w:trHeight w:val="20"/>
          <w:jc w:val="center"/>
        </w:trPr>
        <w:tc>
          <w:tcPr>
            <w:tcW w:w="1753" w:type="dxa"/>
            <w:shd w:val="clear" w:color="auto" w:fill="auto"/>
            <w:noWrap/>
            <w:vAlign w:val="bottom"/>
            <w:hideMark/>
          </w:tcPr>
          <w:p w14:paraId="5A3ABE74" w14:textId="77777777" w:rsidR="006B566E" w:rsidRPr="000879E7" w:rsidRDefault="006B566E" w:rsidP="006B566E">
            <w:pPr>
              <w:keepNext/>
              <w:widowControl/>
              <w:spacing w:line="240" w:lineRule="auto"/>
              <w:jc w:val="left"/>
              <w:rPr>
                <w:rFonts w:ascii="Arial" w:hAnsi="Arial" w:cs="Arial"/>
                <w:color w:val="000000"/>
                <w:sz w:val="14"/>
                <w:szCs w:val="14"/>
              </w:rPr>
            </w:pPr>
          </w:p>
        </w:tc>
        <w:tc>
          <w:tcPr>
            <w:tcW w:w="1211" w:type="dxa"/>
            <w:gridSpan w:val="2"/>
            <w:shd w:val="clear" w:color="auto" w:fill="auto"/>
            <w:noWrap/>
            <w:vAlign w:val="bottom"/>
            <w:hideMark/>
          </w:tcPr>
          <w:p w14:paraId="1AA93DB6"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(0,004)</w:t>
            </w:r>
          </w:p>
        </w:tc>
        <w:tc>
          <w:tcPr>
            <w:tcW w:w="1212" w:type="dxa"/>
            <w:gridSpan w:val="2"/>
            <w:shd w:val="clear" w:color="auto" w:fill="auto"/>
            <w:noWrap/>
            <w:vAlign w:val="bottom"/>
            <w:hideMark/>
          </w:tcPr>
          <w:p w14:paraId="69B1333A"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(0,003)</w:t>
            </w:r>
          </w:p>
        </w:tc>
        <w:tc>
          <w:tcPr>
            <w:tcW w:w="1212" w:type="dxa"/>
            <w:gridSpan w:val="2"/>
            <w:shd w:val="clear" w:color="auto" w:fill="auto"/>
            <w:noWrap/>
            <w:vAlign w:val="bottom"/>
            <w:hideMark/>
          </w:tcPr>
          <w:p w14:paraId="4E07162E"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(0,005)</w:t>
            </w:r>
          </w:p>
        </w:tc>
        <w:tc>
          <w:tcPr>
            <w:tcW w:w="1428" w:type="dxa"/>
            <w:gridSpan w:val="2"/>
            <w:shd w:val="clear" w:color="auto" w:fill="auto"/>
            <w:noWrap/>
            <w:vAlign w:val="bottom"/>
            <w:hideMark/>
          </w:tcPr>
          <w:p w14:paraId="00EAC1F3"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(0,003)</w:t>
            </w:r>
          </w:p>
        </w:tc>
        <w:tc>
          <w:tcPr>
            <w:tcW w:w="1122" w:type="dxa"/>
            <w:gridSpan w:val="2"/>
            <w:shd w:val="clear" w:color="auto" w:fill="auto"/>
            <w:noWrap/>
            <w:vAlign w:val="bottom"/>
            <w:hideMark/>
          </w:tcPr>
          <w:p w14:paraId="491F3595"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(0,004)</w:t>
            </w:r>
          </w:p>
        </w:tc>
      </w:tr>
      <w:tr w:rsidR="006B566E" w:rsidRPr="000879E7" w14:paraId="4B43DDE7" w14:textId="77777777" w:rsidTr="007352CD">
        <w:trPr>
          <w:trHeight w:val="20"/>
          <w:jc w:val="center"/>
        </w:trPr>
        <w:tc>
          <w:tcPr>
            <w:tcW w:w="1753" w:type="dxa"/>
            <w:shd w:val="clear" w:color="auto" w:fill="auto"/>
            <w:noWrap/>
            <w:vAlign w:val="bottom"/>
            <w:hideMark/>
          </w:tcPr>
          <w:p w14:paraId="2FBEAC6B" w14:textId="77777777" w:rsidR="006B566E" w:rsidRPr="000879E7" w:rsidRDefault="006B566E" w:rsidP="006B566E">
            <w:pPr>
              <w:keepNext/>
              <w:widowControl/>
              <w:spacing w:line="240" w:lineRule="auto"/>
              <w:jc w:val="left"/>
              <w:rPr>
                <w:rFonts w:ascii="Arial" w:hAnsi="Arial" w:cs="Arial"/>
                <w:color w:val="000000"/>
                <w:sz w:val="14"/>
                <w:szCs w:val="14"/>
              </w:rPr>
            </w:pPr>
            <w:r w:rsidRPr="000879E7">
              <w:rPr>
                <w:rFonts w:ascii="Arial" w:hAnsi="Arial" w:cs="Arial"/>
                <w:color w:val="000000"/>
                <w:sz w:val="14"/>
                <w:szCs w:val="14"/>
              </w:rPr>
              <w:t>L.ROE</w:t>
            </w:r>
          </w:p>
        </w:tc>
        <w:tc>
          <w:tcPr>
            <w:tcW w:w="854" w:type="dxa"/>
            <w:shd w:val="clear" w:color="auto" w:fill="auto"/>
            <w:noWrap/>
            <w:vAlign w:val="bottom"/>
            <w:hideMark/>
          </w:tcPr>
          <w:p w14:paraId="40E95798"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0,019</w:t>
            </w:r>
          </w:p>
        </w:tc>
        <w:tc>
          <w:tcPr>
            <w:tcW w:w="357" w:type="dxa"/>
            <w:shd w:val="clear" w:color="auto" w:fill="auto"/>
            <w:noWrap/>
            <w:vAlign w:val="bottom"/>
            <w:hideMark/>
          </w:tcPr>
          <w:p w14:paraId="52D22A13"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c>
          <w:tcPr>
            <w:tcW w:w="855" w:type="dxa"/>
            <w:shd w:val="clear" w:color="auto" w:fill="auto"/>
            <w:noWrap/>
            <w:vAlign w:val="bottom"/>
            <w:hideMark/>
          </w:tcPr>
          <w:p w14:paraId="63A4FC28"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-0,002</w:t>
            </w:r>
          </w:p>
        </w:tc>
        <w:tc>
          <w:tcPr>
            <w:tcW w:w="357" w:type="dxa"/>
            <w:shd w:val="clear" w:color="auto" w:fill="auto"/>
            <w:noWrap/>
            <w:vAlign w:val="bottom"/>
            <w:hideMark/>
          </w:tcPr>
          <w:p w14:paraId="4B6A81E4"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c>
          <w:tcPr>
            <w:tcW w:w="855" w:type="dxa"/>
            <w:shd w:val="clear" w:color="auto" w:fill="auto"/>
            <w:noWrap/>
            <w:vAlign w:val="bottom"/>
            <w:hideMark/>
          </w:tcPr>
          <w:p w14:paraId="5005EF3A"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0,020</w:t>
            </w:r>
          </w:p>
        </w:tc>
        <w:tc>
          <w:tcPr>
            <w:tcW w:w="357" w:type="dxa"/>
            <w:shd w:val="clear" w:color="auto" w:fill="auto"/>
            <w:noWrap/>
            <w:vAlign w:val="bottom"/>
            <w:hideMark/>
          </w:tcPr>
          <w:p w14:paraId="0EB77763"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c>
          <w:tcPr>
            <w:tcW w:w="949" w:type="dxa"/>
            <w:shd w:val="clear" w:color="auto" w:fill="auto"/>
            <w:noWrap/>
            <w:vAlign w:val="bottom"/>
            <w:hideMark/>
          </w:tcPr>
          <w:p w14:paraId="2F6BD959"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0,009</w:t>
            </w:r>
          </w:p>
        </w:tc>
        <w:tc>
          <w:tcPr>
            <w:tcW w:w="479" w:type="dxa"/>
            <w:shd w:val="clear" w:color="auto" w:fill="auto"/>
            <w:noWrap/>
            <w:vAlign w:val="bottom"/>
            <w:hideMark/>
          </w:tcPr>
          <w:p w14:paraId="577DF0A4"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p>
        </w:tc>
        <w:tc>
          <w:tcPr>
            <w:tcW w:w="746" w:type="dxa"/>
            <w:shd w:val="clear" w:color="auto" w:fill="auto"/>
            <w:noWrap/>
            <w:vAlign w:val="bottom"/>
            <w:hideMark/>
          </w:tcPr>
          <w:p w14:paraId="15859E18"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0,054</w:t>
            </w:r>
          </w:p>
        </w:tc>
        <w:tc>
          <w:tcPr>
            <w:tcW w:w="376" w:type="dxa"/>
            <w:shd w:val="clear" w:color="auto" w:fill="auto"/>
            <w:noWrap/>
            <w:vAlign w:val="bottom"/>
            <w:hideMark/>
          </w:tcPr>
          <w:p w14:paraId="420EC261"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r>
      <w:tr w:rsidR="006B566E" w:rsidRPr="000879E7" w14:paraId="6F66EA33" w14:textId="77777777" w:rsidTr="007352CD">
        <w:trPr>
          <w:trHeight w:val="20"/>
          <w:jc w:val="center"/>
        </w:trPr>
        <w:tc>
          <w:tcPr>
            <w:tcW w:w="1753" w:type="dxa"/>
            <w:shd w:val="clear" w:color="auto" w:fill="auto"/>
            <w:noWrap/>
            <w:vAlign w:val="bottom"/>
            <w:hideMark/>
          </w:tcPr>
          <w:p w14:paraId="05A4B885" w14:textId="77777777" w:rsidR="006B566E" w:rsidRPr="000879E7" w:rsidRDefault="006B566E" w:rsidP="006B566E">
            <w:pPr>
              <w:keepNext/>
              <w:widowControl/>
              <w:spacing w:line="240" w:lineRule="auto"/>
              <w:jc w:val="left"/>
              <w:rPr>
                <w:rFonts w:ascii="Arial" w:hAnsi="Arial" w:cs="Arial"/>
                <w:color w:val="000000"/>
                <w:sz w:val="14"/>
                <w:szCs w:val="14"/>
              </w:rPr>
            </w:pPr>
          </w:p>
        </w:tc>
        <w:tc>
          <w:tcPr>
            <w:tcW w:w="1211" w:type="dxa"/>
            <w:gridSpan w:val="2"/>
            <w:shd w:val="clear" w:color="auto" w:fill="auto"/>
            <w:noWrap/>
            <w:vAlign w:val="bottom"/>
            <w:hideMark/>
          </w:tcPr>
          <w:p w14:paraId="1B477260"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(0,022)</w:t>
            </w:r>
          </w:p>
        </w:tc>
        <w:tc>
          <w:tcPr>
            <w:tcW w:w="1212" w:type="dxa"/>
            <w:gridSpan w:val="2"/>
            <w:shd w:val="clear" w:color="auto" w:fill="auto"/>
            <w:noWrap/>
            <w:vAlign w:val="bottom"/>
            <w:hideMark/>
          </w:tcPr>
          <w:p w14:paraId="1EFB9F39"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(0,017)</w:t>
            </w:r>
          </w:p>
        </w:tc>
        <w:tc>
          <w:tcPr>
            <w:tcW w:w="1212" w:type="dxa"/>
            <w:gridSpan w:val="2"/>
            <w:shd w:val="clear" w:color="auto" w:fill="auto"/>
            <w:noWrap/>
            <w:vAlign w:val="bottom"/>
            <w:hideMark/>
          </w:tcPr>
          <w:p w14:paraId="36181916"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(0,029)</w:t>
            </w:r>
          </w:p>
        </w:tc>
        <w:tc>
          <w:tcPr>
            <w:tcW w:w="1428" w:type="dxa"/>
            <w:gridSpan w:val="2"/>
            <w:shd w:val="clear" w:color="auto" w:fill="auto"/>
            <w:noWrap/>
            <w:vAlign w:val="bottom"/>
            <w:hideMark/>
          </w:tcPr>
          <w:p w14:paraId="5587307D"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(0,017)</w:t>
            </w:r>
          </w:p>
        </w:tc>
        <w:tc>
          <w:tcPr>
            <w:tcW w:w="1122" w:type="dxa"/>
            <w:gridSpan w:val="2"/>
            <w:shd w:val="clear" w:color="auto" w:fill="auto"/>
            <w:noWrap/>
            <w:vAlign w:val="bottom"/>
            <w:hideMark/>
          </w:tcPr>
          <w:p w14:paraId="3E5C20E6" w14:textId="77777777" w:rsidR="006B566E" w:rsidRPr="000879E7" w:rsidRDefault="006B566E" w:rsidP="006B566E">
            <w:pPr>
              <w:keepNext/>
              <w:widowControl/>
              <w:spacing w:line="240" w:lineRule="auto"/>
              <w:ind w:left="-57" w:right="-57"/>
              <w:jc w:val="center"/>
              <w:rPr>
                <w:rFonts w:ascii="Arial" w:hAnsi="Arial" w:cs="Arial"/>
                <w:color w:val="000000"/>
                <w:sz w:val="14"/>
                <w:szCs w:val="14"/>
              </w:rPr>
            </w:pPr>
            <w:r w:rsidRPr="000879E7">
              <w:rPr>
                <w:rFonts w:ascii="Arial" w:hAnsi="Arial" w:cs="Arial"/>
                <w:color w:val="000000"/>
                <w:sz w:val="14"/>
                <w:szCs w:val="14"/>
              </w:rPr>
              <w:t>(0,024)</w:t>
            </w:r>
          </w:p>
        </w:tc>
      </w:tr>
      <w:tr w:rsidR="006B566E" w:rsidRPr="000879E7" w14:paraId="235E777B" w14:textId="77777777" w:rsidTr="007352CD">
        <w:trPr>
          <w:trHeight w:val="20"/>
          <w:jc w:val="center"/>
        </w:trPr>
        <w:tc>
          <w:tcPr>
            <w:tcW w:w="1753" w:type="dxa"/>
            <w:tcBorders>
              <w:bottom w:val="single" w:sz="4" w:space="0" w:color="auto"/>
            </w:tcBorders>
            <w:shd w:val="clear" w:color="auto" w:fill="auto"/>
            <w:noWrap/>
            <w:vAlign w:val="center"/>
            <w:hideMark/>
          </w:tcPr>
          <w:p w14:paraId="5A338DC7" w14:textId="77777777" w:rsidR="006B566E" w:rsidRPr="000879E7" w:rsidRDefault="006B566E" w:rsidP="006B566E">
            <w:pPr>
              <w:keepNext/>
              <w:widowControl/>
              <w:spacing w:line="240" w:lineRule="auto"/>
              <w:rPr>
                <w:rFonts w:ascii="Arial" w:hAnsi="Arial" w:cs="Arial"/>
                <w:sz w:val="14"/>
                <w:szCs w:val="14"/>
              </w:rPr>
            </w:pPr>
            <w:r w:rsidRPr="000879E7">
              <w:rPr>
                <w:rFonts w:ascii="Arial" w:hAnsi="Arial" w:cs="Arial"/>
                <w:sz w:val="14"/>
                <w:szCs w:val="14"/>
              </w:rPr>
              <w:t>Χ</w:t>
            </w:r>
            <w:r w:rsidRPr="000879E7">
              <w:rPr>
                <w:rFonts w:ascii="Arial" w:hAnsi="Arial" w:cs="Arial"/>
                <w:sz w:val="14"/>
                <w:szCs w:val="14"/>
                <w:vertAlign w:val="superscript"/>
              </w:rPr>
              <w:t>2</w:t>
            </w:r>
          </w:p>
        </w:tc>
        <w:tc>
          <w:tcPr>
            <w:tcW w:w="854" w:type="dxa"/>
            <w:tcBorders>
              <w:bottom w:val="single" w:sz="4" w:space="0" w:color="auto"/>
            </w:tcBorders>
            <w:shd w:val="clear" w:color="auto" w:fill="auto"/>
            <w:noWrap/>
            <w:vAlign w:val="bottom"/>
            <w:hideMark/>
          </w:tcPr>
          <w:p w14:paraId="06D2F0D3"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291,76</w:t>
            </w:r>
          </w:p>
        </w:tc>
        <w:tc>
          <w:tcPr>
            <w:tcW w:w="357" w:type="dxa"/>
            <w:tcBorders>
              <w:bottom w:val="single" w:sz="4" w:space="0" w:color="auto"/>
            </w:tcBorders>
            <w:shd w:val="clear" w:color="auto" w:fill="auto"/>
            <w:noWrap/>
            <w:vAlign w:val="bottom"/>
            <w:hideMark/>
          </w:tcPr>
          <w:p w14:paraId="656D86D9"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tcBorders>
              <w:bottom w:val="single" w:sz="4" w:space="0" w:color="auto"/>
            </w:tcBorders>
            <w:shd w:val="clear" w:color="auto" w:fill="auto"/>
            <w:noWrap/>
            <w:vAlign w:val="bottom"/>
            <w:hideMark/>
          </w:tcPr>
          <w:p w14:paraId="35DB1583"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968,38</w:t>
            </w:r>
          </w:p>
        </w:tc>
        <w:tc>
          <w:tcPr>
            <w:tcW w:w="357" w:type="dxa"/>
            <w:tcBorders>
              <w:bottom w:val="single" w:sz="4" w:space="0" w:color="auto"/>
            </w:tcBorders>
            <w:shd w:val="clear" w:color="auto" w:fill="auto"/>
            <w:noWrap/>
            <w:vAlign w:val="bottom"/>
            <w:hideMark/>
          </w:tcPr>
          <w:p w14:paraId="30D524E6"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855" w:type="dxa"/>
            <w:tcBorders>
              <w:bottom w:val="single" w:sz="4" w:space="0" w:color="auto"/>
            </w:tcBorders>
            <w:shd w:val="clear" w:color="auto" w:fill="auto"/>
            <w:noWrap/>
            <w:vAlign w:val="bottom"/>
            <w:hideMark/>
          </w:tcPr>
          <w:p w14:paraId="7BF54B04"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106,92</w:t>
            </w:r>
          </w:p>
        </w:tc>
        <w:tc>
          <w:tcPr>
            <w:tcW w:w="357" w:type="dxa"/>
            <w:tcBorders>
              <w:bottom w:val="single" w:sz="4" w:space="0" w:color="auto"/>
            </w:tcBorders>
            <w:shd w:val="clear" w:color="auto" w:fill="auto"/>
            <w:noWrap/>
            <w:vAlign w:val="bottom"/>
            <w:hideMark/>
          </w:tcPr>
          <w:p w14:paraId="0C4BD2E4"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949" w:type="dxa"/>
            <w:tcBorders>
              <w:bottom w:val="single" w:sz="4" w:space="0" w:color="auto"/>
            </w:tcBorders>
            <w:shd w:val="clear" w:color="auto" w:fill="auto"/>
            <w:noWrap/>
            <w:vAlign w:val="bottom"/>
            <w:hideMark/>
          </w:tcPr>
          <w:p w14:paraId="53E620CF"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95,18</w:t>
            </w:r>
          </w:p>
        </w:tc>
        <w:tc>
          <w:tcPr>
            <w:tcW w:w="479" w:type="dxa"/>
            <w:tcBorders>
              <w:bottom w:val="single" w:sz="4" w:space="0" w:color="auto"/>
            </w:tcBorders>
            <w:shd w:val="clear" w:color="auto" w:fill="auto"/>
            <w:noWrap/>
            <w:vAlign w:val="bottom"/>
            <w:hideMark/>
          </w:tcPr>
          <w:p w14:paraId="3E8596F1"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c>
          <w:tcPr>
            <w:tcW w:w="746" w:type="dxa"/>
            <w:tcBorders>
              <w:bottom w:val="single" w:sz="4" w:space="0" w:color="auto"/>
            </w:tcBorders>
            <w:shd w:val="clear" w:color="auto" w:fill="auto"/>
            <w:noWrap/>
            <w:vAlign w:val="bottom"/>
            <w:hideMark/>
          </w:tcPr>
          <w:p w14:paraId="25FC6B0D" w14:textId="77777777" w:rsidR="006B566E" w:rsidRPr="000879E7" w:rsidRDefault="006B566E" w:rsidP="006B566E">
            <w:pPr>
              <w:keepNext/>
              <w:widowControl/>
              <w:spacing w:line="240" w:lineRule="auto"/>
              <w:ind w:left="-57" w:right="-57"/>
              <w:jc w:val="right"/>
              <w:rPr>
                <w:rFonts w:ascii="Arial" w:hAnsi="Arial" w:cs="Arial"/>
                <w:color w:val="000000"/>
                <w:sz w:val="14"/>
                <w:szCs w:val="14"/>
              </w:rPr>
            </w:pPr>
            <w:r w:rsidRPr="000879E7">
              <w:rPr>
                <w:rFonts w:ascii="Arial" w:hAnsi="Arial" w:cs="Arial"/>
                <w:color w:val="000000"/>
                <w:sz w:val="14"/>
                <w:szCs w:val="14"/>
              </w:rPr>
              <w:t>71,95</w:t>
            </w:r>
          </w:p>
        </w:tc>
        <w:tc>
          <w:tcPr>
            <w:tcW w:w="376" w:type="dxa"/>
            <w:tcBorders>
              <w:bottom w:val="single" w:sz="4" w:space="0" w:color="auto"/>
            </w:tcBorders>
            <w:shd w:val="clear" w:color="auto" w:fill="auto"/>
            <w:noWrap/>
            <w:vAlign w:val="bottom"/>
            <w:hideMark/>
          </w:tcPr>
          <w:p w14:paraId="5FA3A0D8" w14:textId="77777777" w:rsidR="006B566E" w:rsidRPr="000879E7" w:rsidRDefault="006B566E" w:rsidP="006B566E">
            <w:pPr>
              <w:keepNext/>
              <w:widowControl/>
              <w:spacing w:line="240" w:lineRule="auto"/>
              <w:ind w:left="-57" w:right="-57"/>
              <w:jc w:val="left"/>
              <w:rPr>
                <w:rFonts w:ascii="Arial" w:hAnsi="Arial" w:cs="Arial"/>
                <w:color w:val="000000"/>
                <w:sz w:val="14"/>
                <w:szCs w:val="14"/>
              </w:rPr>
            </w:pPr>
            <w:r w:rsidRPr="000879E7">
              <w:rPr>
                <w:rFonts w:ascii="Arial" w:hAnsi="Arial" w:cs="Arial"/>
                <w:color w:val="000000"/>
                <w:sz w:val="14"/>
                <w:szCs w:val="14"/>
              </w:rPr>
              <w:t>***</w:t>
            </w:r>
          </w:p>
        </w:tc>
      </w:tr>
      <w:tr w:rsidR="006B566E" w:rsidRPr="000879E7" w14:paraId="6277486A" w14:textId="77777777" w:rsidTr="007352CD">
        <w:trPr>
          <w:trHeight w:val="20"/>
          <w:jc w:val="center"/>
        </w:trPr>
        <w:tc>
          <w:tcPr>
            <w:tcW w:w="7938" w:type="dxa"/>
            <w:gridSpan w:val="11"/>
            <w:tcBorders>
              <w:top w:val="single" w:sz="4" w:space="0" w:color="auto"/>
              <w:bottom w:val="single" w:sz="4" w:space="0" w:color="auto"/>
            </w:tcBorders>
            <w:shd w:val="clear" w:color="auto" w:fill="auto"/>
            <w:noWrap/>
            <w:vAlign w:val="center"/>
          </w:tcPr>
          <w:p w14:paraId="7A1A6A91" w14:textId="77777777" w:rsidR="006B566E" w:rsidRPr="000879E7" w:rsidRDefault="006B566E" w:rsidP="006B566E">
            <w:pPr>
              <w:keepNext/>
              <w:widowControl/>
              <w:spacing w:line="240" w:lineRule="auto"/>
              <w:jc w:val="left"/>
              <w:rPr>
                <w:rFonts w:ascii="Arial" w:hAnsi="Arial" w:cs="Arial"/>
                <w:bCs/>
                <w:color w:val="000000"/>
                <w:sz w:val="14"/>
                <w:szCs w:val="14"/>
              </w:rPr>
            </w:pPr>
            <w:r w:rsidRPr="000879E7">
              <w:rPr>
                <w:rFonts w:ascii="Arial" w:hAnsi="Arial" w:cs="Arial"/>
                <w:bCs/>
                <w:color w:val="000000"/>
                <w:sz w:val="14"/>
                <w:szCs w:val="14"/>
              </w:rPr>
              <w:t>PAINEL B – CONTROLE COMPARTILHADO (COMP)</w:t>
            </w:r>
          </w:p>
        </w:tc>
      </w:tr>
      <w:tr w:rsidR="006B566E" w:rsidRPr="000879E7" w14:paraId="287B40F3" w14:textId="77777777" w:rsidTr="007352CD">
        <w:trPr>
          <w:trHeight w:val="20"/>
          <w:jc w:val="center"/>
        </w:trPr>
        <w:tc>
          <w:tcPr>
            <w:tcW w:w="1753" w:type="dxa"/>
            <w:tcBorders>
              <w:top w:val="single" w:sz="4" w:space="0" w:color="auto"/>
            </w:tcBorders>
            <w:shd w:val="clear" w:color="auto" w:fill="auto"/>
            <w:noWrap/>
            <w:vAlign w:val="bottom"/>
            <w:hideMark/>
          </w:tcPr>
          <w:p w14:paraId="15220192" w14:textId="77777777" w:rsidR="006B566E" w:rsidRPr="000879E7" w:rsidRDefault="006B566E" w:rsidP="006B566E">
            <w:pPr>
              <w:keepNext/>
              <w:widowControl/>
              <w:spacing w:line="240" w:lineRule="auto"/>
              <w:jc w:val="left"/>
              <w:rPr>
                <w:rFonts w:ascii="Arial" w:eastAsia="Calibri" w:hAnsi="Arial" w:cs="Arial"/>
                <w:color w:val="000000"/>
                <w:sz w:val="14"/>
                <w:szCs w:val="14"/>
              </w:rPr>
            </w:pPr>
            <w:r w:rsidRPr="000879E7">
              <w:rPr>
                <w:rFonts w:ascii="Arial" w:eastAsia="Calibri" w:hAnsi="Arial" w:cs="Arial"/>
                <w:color w:val="000000"/>
                <w:sz w:val="14"/>
                <w:szCs w:val="14"/>
                <w:lang w:eastAsia="en-US"/>
              </w:rPr>
              <w:t>COMP</w:t>
            </w:r>
          </w:p>
        </w:tc>
        <w:tc>
          <w:tcPr>
            <w:tcW w:w="854" w:type="dxa"/>
            <w:tcBorders>
              <w:top w:val="single" w:sz="4" w:space="0" w:color="auto"/>
            </w:tcBorders>
            <w:shd w:val="clear" w:color="auto" w:fill="auto"/>
            <w:noWrap/>
            <w:vAlign w:val="bottom"/>
            <w:hideMark/>
          </w:tcPr>
          <w:p w14:paraId="54A3099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-0,027</w:t>
            </w:r>
          </w:p>
        </w:tc>
        <w:tc>
          <w:tcPr>
            <w:tcW w:w="357" w:type="dxa"/>
            <w:tcBorders>
              <w:top w:val="single" w:sz="4" w:space="0" w:color="auto"/>
            </w:tcBorders>
            <w:shd w:val="clear" w:color="auto" w:fill="auto"/>
            <w:noWrap/>
            <w:vAlign w:val="bottom"/>
            <w:hideMark/>
          </w:tcPr>
          <w:p w14:paraId="0DB2DD1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tcBorders>
              <w:top w:val="single" w:sz="4" w:space="0" w:color="auto"/>
            </w:tcBorders>
            <w:shd w:val="clear" w:color="auto" w:fill="auto"/>
            <w:noWrap/>
            <w:vAlign w:val="bottom"/>
            <w:hideMark/>
          </w:tcPr>
          <w:p w14:paraId="21D9686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-0,118</w:t>
            </w:r>
          </w:p>
        </w:tc>
        <w:tc>
          <w:tcPr>
            <w:tcW w:w="357" w:type="dxa"/>
            <w:tcBorders>
              <w:top w:val="single" w:sz="4" w:space="0" w:color="auto"/>
            </w:tcBorders>
            <w:shd w:val="clear" w:color="auto" w:fill="auto"/>
            <w:noWrap/>
            <w:vAlign w:val="bottom"/>
            <w:hideMark/>
          </w:tcPr>
          <w:p w14:paraId="2C87A44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6AB5A4E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0,072</w:t>
            </w:r>
          </w:p>
        </w:tc>
        <w:tc>
          <w:tcPr>
            <w:tcW w:w="357" w:type="dxa"/>
            <w:tcBorders>
              <w:top w:val="single" w:sz="4" w:space="0" w:color="auto"/>
            </w:tcBorders>
            <w:shd w:val="clear" w:color="auto" w:fill="auto"/>
            <w:noWrap/>
            <w:vAlign w:val="bottom"/>
            <w:hideMark/>
          </w:tcPr>
          <w:p w14:paraId="5584612D"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top w:val="single" w:sz="4" w:space="0" w:color="auto"/>
            </w:tcBorders>
            <w:shd w:val="clear" w:color="auto" w:fill="auto"/>
            <w:noWrap/>
            <w:vAlign w:val="bottom"/>
            <w:hideMark/>
          </w:tcPr>
          <w:p w14:paraId="5290CFB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0,049</w:t>
            </w:r>
          </w:p>
        </w:tc>
        <w:tc>
          <w:tcPr>
            <w:tcW w:w="479" w:type="dxa"/>
            <w:tcBorders>
              <w:top w:val="single" w:sz="4" w:space="0" w:color="auto"/>
            </w:tcBorders>
            <w:shd w:val="clear" w:color="auto" w:fill="auto"/>
            <w:noWrap/>
            <w:vAlign w:val="bottom"/>
            <w:hideMark/>
          </w:tcPr>
          <w:p w14:paraId="187D8D8E"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top w:val="single" w:sz="4" w:space="0" w:color="auto"/>
            </w:tcBorders>
            <w:shd w:val="clear" w:color="auto" w:fill="auto"/>
            <w:noWrap/>
            <w:vAlign w:val="bottom"/>
            <w:hideMark/>
          </w:tcPr>
          <w:p w14:paraId="23AC2D8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0,018</w:t>
            </w:r>
          </w:p>
        </w:tc>
        <w:tc>
          <w:tcPr>
            <w:tcW w:w="376" w:type="dxa"/>
            <w:tcBorders>
              <w:top w:val="single" w:sz="4" w:space="0" w:color="auto"/>
            </w:tcBorders>
            <w:shd w:val="clear" w:color="auto" w:fill="auto"/>
            <w:noWrap/>
            <w:vAlign w:val="bottom"/>
            <w:hideMark/>
          </w:tcPr>
          <w:p w14:paraId="1F5C06B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r>
      <w:tr w:rsidR="006B566E" w:rsidRPr="000879E7" w14:paraId="011AC322" w14:textId="77777777" w:rsidTr="007352CD">
        <w:trPr>
          <w:trHeight w:val="20"/>
          <w:jc w:val="center"/>
        </w:trPr>
        <w:tc>
          <w:tcPr>
            <w:tcW w:w="1753" w:type="dxa"/>
            <w:shd w:val="clear" w:color="auto" w:fill="auto"/>
            <w:noWrap/>
            <w:vAlign w:val="bottom"/>
            <w:hideMark/>
          </w:tcPr>
          <w:p w14:paraId="1B777E46" w14:textId="77777777" w:rsidR="006B566E" w:rsidRPr="000879E7" w:rsidRDefault="006B566E" w:rsidP="006B566E">
            <w:pPr>
              <w:keepNext/>
              <w:widowControl/>
              <w:spacing w:line="240" w:lineRule="auto"/>
              <w:jc w:val="left"/>
              <w:rPr>
                <w:rFonts w:ascii="Arial" w:eastAsia="Calibri" w:hAnsi="Arial" w:cs="Arial"/>
                <w:sz w:val="14"/>
                <w:szCs w:val="14"/>
                <w:lang w:eastAsia="en-US"/>
              </w:rPr>
            </w:pPr>
          </w:p>
        </w:tc>
        <w:tc>
          <w:tcPr>
            <w:tcW w:w="1211" w:type="dxa"/>
            <w:gridSpan w:val="2"/>
            <w:shd w:val="clear" w:color="auto" w:fill="auto"/>
            <w:noWrap/>
            <w:vAlign w:val="bottom"/>
            <w:hideMark/>
          </w:tcPr>
          <w:p w14:paraId="52340EA8"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(0,018)</w:t>
            </w:r>
          </w:p>
        </w:tc>
        <w:tc>
          <w:tcPr>
            <w:tcW w:w="1212" w:type="dxa"/>
            <w:gridSpan w:val="2"/>
            <w:shd w:val="clear" w:color="auto" w:fill="auto"/>
            <w:noWrap/>
            <w:vAlign w:val="bottom"/>
            <w:hideMark/>
          </w:tcPr>
          <w:p w14:paraId="32232AF5"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(0,020)</w:t>
            </w:r>
          </w:p>
        </w:tc>
        <w:tc>
          <w:tcPr>
            <w:tcW w:w="1212" w:type="dxa"/>
            <w:gridSpan w:val="2"/>
            <w:shd w:val="clear" w:color="auto" w:fill="auto"/>
            <w:noWrap/>
            <w:vAlign w:val="bottom"/>
            <w:hideMark/>
          </w:tcPr>
          <w:p w14:paraId="0A33D060"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(0,023)</w:t>
            </w:r>
          </w:p>
        </w:tc>
        <w:tc>
          <w:tcPr>
            <w:tcW w:w="1428" w:type="dxa"/>
            <w:gridSpan w:val="2"/>
            <w:shd w:val="clear" w:color="auto" w:fill="auto"/>
            <w:noWrap/>
            <w:vAlign w:val="bottom"/>
            <w:hideMark/>
          </w:tcPr>
          <w:p w14:paraId="00CD9E6A"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(0,014)</w:t>
            </w:r>
          </w:p>
        </w:tc>
        <w:tc>
          <w:tcPr>
            <w:tcW w:w="1122" w:type="dxa"/>
            <w:gridSpan w:val="2"/>
            <w:shd w:val="clear" w:color="auto" w:fill="auto"/>
            <w:noWrap/>
            <w:vAlign w:val="bottom"/>
            <w:hideMark/>
          </w:tcPr>
          <w:p w14:paraId="6B42EA1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(0,019)</w:t>
            </w:r>
          </w:p>
        </w:tc>
      </w:tr>
      <w:tr w:rsidR="006B566E" w:rsidRPr="000879E7" w14:paraId="2CB3A17F" w14:textId="77777777" w:rsidTr="007352CD">
        <w:trPr>
          <w:trHeight w:val="20"/>
          <w:jc w:val="center"/>
        </w:trPr>
        <w:tc>
          <w:tcPr>
            <w:tcW w:w="1753" w:type="dxa"/>
            <w:shd w:val="clear" w:color="auto" w:fill="auto"/>
            <w:noWrap/>
            <w:vAlign w:val="bottom"/>
            <w:hideMark/>
          </w:tcPr>
          <w:p w14:paraId="7ABCA17A"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L.TAM</w:t>
            </w:r>
          </w:p>
        </w:tc>
        <w:tc>
          <w:tcPr>
            <w:tcW w:w="854" w:type="dxa"/>
            <w:shd w:val="clear" w:color="auto" w:fill="auto"/>
            <w:noWrap/>
            <w:vAlign w:val="bottom"/>
            <w:hideMark/>
          </w:tcPr>
          <w:p w14:paraId="318BB30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57" w:type="dxa"/>
            <w:shd w:val="clear" w:color="auto" w:fill="auto"/>
            <w:noWrap/>
            <w:vAlign w:val="bottom"/>
            <w:hideMark/>
          </w:tcPr>
          <w:p w14:paraId="575F82D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062B122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0,006</w:t>
            </w:r>
          </w:p>
        </w:tc>
        <w:tc>
          <w:tcPr>
            <w:tcW w:w="357" w:type="dxa"/>
            <w:shd w:val="clear" w:color="auto" w:fill="auto"/>
            <w:noWrap/>
            <w:vAlign w:val="bottom"/>
            <w:hideMark/>
          </w:tcPr>
          <w:p w14:paraId="3D65184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6A61EE2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c>
          <w:tcPr>
            <w:tcW w:w="357" w:type="dxa"/>
            <w:shd w:val="clear" w:color="auto" w:fill="auto"/>
            <w:noWrap/>
            <w:vAlign w:val="bottom"/>
            <w:hideMark/>
          </w:tcPr>
          <w:p w14:paraId="49FB3AFE"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shd w:val="clear" w:color="auto" w:fill="auto"/>
            <w:noWrap/>
            <w:vAlign w:val="bottom"/>
            <w:hideMark/>
          </w:tcPr>
          <w:p w14:paraId="46130BC6"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0,007</w:t>
            </w:r>
          </w:p>
        </w:tc>
        <w:tc>
          <w:tcPr>
            <w:tcW w:w="479" w:type="dxa"/>
            <w:shd w:val="clear" w:color="auto" w:fill="auto"/>
            <w:noWrap/>
            <w:vAlign w:val="bottom"/>
            <w:hideMark/>
          </w:tcPr>
          <w:p w14:paraId="63B77B2D"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shd w:val="clear" w:color="auto" w:fill="auto"/>
            <w:noWrap/>
            <w:vAlign w:val="bottom"/>
            <w:hideMark/>
          </w:tcPr>
          <w:p w14:paraId="10FD5BC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0,010</w:t>
            </w:r>
          </w:p>
        </w:tc>
        <w:tc>
          <w:tcPr>
            <w:tcW w:w="376" w:type="dxa"/>
            <w:shd w:val="clear" w:color="auto" w:fill="auto"/>
            <w:noWrap/>
            <w:vAlign w:val="bottom"/>
            <w:hideMark/>
          </w:tcPr>
          <w:p w14:paraId="62B74A8B"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D41E441" w14:textId="77777777" w:rsidTr="007352CD">
        <w:trPr>
          <w:trHeight w:val="20"/>
          <w:jc w:val="center"/>
        </w:trPr>
        <w:tc>
          <w:tcPr>
            <w:tcW w:w="1753" w:type="dxa"/>
            <w:shd w:val="clear" w:color="auto" w:fill="auto"/>
            <w:noWrap/>
            <w:vAlign w:val="bottom"/>
            <w:hideMark/>
          </w:tcPr>
          <w:p w14:paraId="0247474D"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0387175D"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7097FBB7"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11A07D68"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428" w:type="dxa"/>
            <w:gridSpan w:val="2"/>
            <w:shd w:val="clear" w:color="auto" w:fill="auto"/>
            <w:noWrap/>
            <w:vAlign w:val="bottom"/>
            <w:hideMark/>
          </w:tcPr>
          <w:p w14:paraId="54F7B28E"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(0,003)</w:t>
            </w:r>
          </w:p>
        </w:tc>
        <w:tc>
          <w:tcPr>
            <w:tcW w:w="1122" w:type="dxa"/>
            <w:gridSpan w:val="2"/>
            <w:shd w:val="clear" w:color="auto" w:fill="auto"/>
            <w:noWrap/>
            <w:vAlign w:val="bottom"/>
            <w:hideMark/>
          </w:tcPr>
          <w:p w14:paraId="3D89DF22"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r>
      <w:tr w:rsidR="006B566E" w:rsidRPr="000879E7" w14:paraId="642BCE8A" w14:textId="77777777" w:rsidTr="007352CD">
        <w:trPr>
          <w:trHeight w:val="20"/>
          <w:jc w:val="center"/>
        </w:trPr>
        <w:tc>
          <w:tcPr>
            <w:tcW w:w="1753" w:type="dxa"/>
            <w:shd w:val="clear" w:color="auto" w:fill="auto"/>
            <w:noWrap/>
            <w:vAlign w:val="bottom"/>
            <w:hideMark/>
          </w:tcPr>
          <w:p w14:paraId="13DE87B4"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L.ROE</w:t>
            </w:r>
          </w:p>
        </w:tc>
        <w:tc>
          <w:tcPr>
            <w:tcW w:w="854" w:type="dxa"/>
            <w:shd w:val="clear" w:color="auto" w:fill="auto"/>
            <w:noWrap/>
            <w:vAlign w:val="bottom"/>
            <w:hideMark/>
          </w:tcPr>
          <w:p w14:paraId="5B08C20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0,008</w:t>
            </w:r>
          </w:p>
        </w:tc>
        <w:tc>
          <w:tcPr>
            <w:tcW w:w="357" w:type="dxa"/>
            <w:shd w:val="clear" w:color="auto" w:fill="auto"/>
            <w:noWrap/>
            <w:vAlign w:val="bottom"/>
            <w:hideMark/>
          </w:tcPr>
          <w:p w14:paraId="7A097FB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5976114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-0,068</w:t>
            </w:r>
          </w:p>
        </w:tc>
        <w:tc>
          <w:tcPr>
            <w:tcW w:w="357" w:type="dxa"/>
            <w:shd w:val="clear" w:color="auto" w:fill="auto"/>
            <w:noWrap/>
            <w:vAlign w:val="bottom"/>
            <w:hideMark/>
          </w:tcPr>
          <w:p w14:paraId="2182DE9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34A206F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0,018</w:t>
            </w:r>
          </w:p>
        </w:tc>
        <w:tc>
          <w:tcPr>
            <w:tcW w:w="357" w:type="dxa"/>
            <w:shd w:val="clear" w:color="auto" w:fill="auto"/>
            <w:noWrap/>
            <w:vAlign w:val="bottom"/>
            <w:hideMark/>
          </w:tcPr>
          <w:p w14:paraId="46F32AB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949" w:type="dxa"/>
            <w:shd w:val="clear" w:color="auto" w:fill="auto"/>
            <w:noWrap/>
            <w:vAlign w:val="bottom"/>
            <w:hideMark/>
          </w:tcPr>
          <w:p w14:paraId="79B9C22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-0,002</w:t>
            </w:r>
          </w:p>
        </w:tc>
        <w:tc>
          <w:tcPr>
            <w:tcW w:w="479" w:type="dxa"/>
            <w:shd w:val="clear" w:color="auto" w:fill="auto"/>
            <w:noWrap/>
            <w:vAlign w:val="bottom"/>
            <w:hideMark/>
          </w:tcPr>
          <w:p w14:paraId="6659798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746" w:type="dxa"/>
            <w:shd w:val="clear" w:color="auto" w:fill="auto"/>
            <w:noWrap/>
            <w:vAlign w:val="bottom"/>
            <w:hideMark/>
          </w:tcPr>
          <w:p w14:paraId="11980E8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0,053</w:t>
            </w:r>
          </w:p>
        </w:tc>
        <w:tc>
          <w:tcPr>
            <w:tcW w:w="376" w:type="dxa"/>
            <w:shd w:val="clear" w:color="auto" w:fill="auto"/>
            <w:noWrap/>
            <w:vAlign w:val="bottom"/>
            <w:hideMark/>
          </w:tcPr>
          <w:p w14:paraId="11722CC2"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94E94D1" w14:textId="77777777" w:rsidTr="007352CD">
        <w:trPr>
          <w:trHeight w:val="20"/>
          <w:jc w:val="center"/>
        </w:trPr>
        <w:tc>
          <w:tcPr>
            <w:tcW w:w="1753" w:type="dxa"/>
            <w:shd w:val="clear" w:color="auto" w:fill="auto"/>
            <w:noWrap/>
            <w:vAlign w:val="bottom"/>
            <w:hideMark/>
          </w:tcPr>
          <w:p w14:paraId="7F9F6995"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21A27716"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c>
          <w:tcPr>
            <w:tcW w:w="1212" w:type="dxa"/>
            <w:gridSpan w:val="2"/>
            <w:shd w:val="clear" w:color="auto" w:fill="auto"/>
            <w:noWrap/>
            <w:vAlign w:val="bottom"/>
            <w:hideMark/>
          </w:tcPr>
          <w:p w14:paraId="70BF4781"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(0,024)</w:t>
            </w:r>
          </w:p>
        </w:tc>
        <w:tc>
          <w:tcPr>
            <w:tcW w:w="1212" w:type="dxa"/>
            <w:gridSpan w:val="2"/>
            <w:shd w:val="clear" w:color="auto" w:fill="auto"/>
            <w:noWrap/>
            <w:vAlign w:val="bottom"/>
            <w:hideMark/>
          </w:tcPr>
          <w:p w14:paraId="752708C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c>
          <w:tcPr>
            <w:tcW w:w="1428" w:type="dxa"/>
            <w:gridSpan w:val="2"/>
            <w:shd w:val="clear" w:color="auto" w:fill="auto"/>
            <w:noWrap/>
            <w:vAlign w:val="bottom"/>
            <w:hideMark/>
          </w:tcPr>
          <w:p w14:paraId="75880611"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122" w:type="dxa"/>
            <w:gridSpan w:val="2"/>
            <w:shd w:val="clear" w:color="auto" w:fill="auto"/>
            <w:noWrap/>
            <w:vAlign w:val="bottom"/>
            <w:hideMark/>
          </w:tcPr>
          <w:p w14:paraId="7E5DA34C"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(0,024)</w:t>
            </w:r>
          </w:p>
        </w:tc>
      </w:tr>
      <w:tr w:rsidR="006B566E" w:rsidRPr="000879E7" w14:paraId="359FC4EB" w14:textId="77777777" w:rsidTr="007352CD">
        <w:trPr>
          <w:trHeight w:val="20"/>
          <w:jc w:val="center"/>
        </w:trPr>
        <w:tc>
          <w:tcPr>
            <w:tcW w:w="1753" w:type="dxa"/>
            <w:tcBorders>
              <w:bottom w:val="single" w:sz="4" w:space="0" w:color="auto"/>
            </w:tcBorders>
            <w:shd w:val="clear" w:color="auto" w:fill="auto"/>
            <w:noWrap/>
            <w:vAlign w:val="center"/>
            <w:hideMark/>
          </w:tcPr>
          <w:p w14:paraId="06AFF9A9" w14:textId="77777777" w:rsidR="006B566E" w:rsidRPr="000879E7" w:rsidRDefault="006B566E" w:rsidP="006B566E">
            <w:pPr>
              <w:keepNext/>
              <w:widowControl/>
              <w:spacing w:line="240" w:lineRule="auto"/>
              <w:rPr>
                <w:rFonts w:ascii="Arial" w:eastAsia="Calibri" w:hAnsi="Arial" w:cs="Arial"/>
                <w:sz w:val="14"/>
                <w:szCs w:val="14"/>
                <w:lang w:eastAsia="en-US"/>
              </w:rPr>
            </w:pPr>
            <w:r w:rsidRPr="000879E7">
              <w:rPr>
                <w:rFonts w:ascii="Arial" w:eastAsia="Calibri" w:hAnsi="Arial" w:cs="Arial"/>
                <w:sz w:val="14"/>
                <w:szCs w:val="14"/>
                <w:lang w:eastAsia="en-US"/>
              </w:rPr>
              <w:t>Χ</w:t>
            </w:r>
            <w:r w:rsidRPr="000879E7">
              <w:rPr>
                <w:rFonts w:ascii="Arial" w:eastAsia="Calibri" w:hAnsi="Arial" w:cs="Arial"/>
                <w:sz w:val="14"/>
                <w:szCs w:val="14"/>
                <w:vertAlign w:val="superscript"/>
                <w:lang w:eastAsia="en-US"/>
              </w:rPr>
              <w:t>2</w:t>
            </w:r>
          </w:p>
        </w:tc>
        <w:tc>
          <w:tcPr>
            <w:tcW w:w="854" w:type="dxa"/>
            <w:tcBorders>
              <w:bottom w:val="single" w:sz="4" w:space="0" w:color="auto"/>
            </w:tcBorders>
            <w:shd w:val="clear" w:color="auto" w:fill="auto"/>
            <w:noWrap/>
            <w:vAlign w:val="bottom"/>
            <w:hideMark/>
          </w:tcPr>
          <w:p w14:paraId="280972C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276,44</w:t>
            </w:r>
          </w:p>
        </w:tc>
        <w:tc>
          <w:tcPr>
            <w:tcW w:w="357" w:type="dxa"/>
            <w:tcBorders>
              <w:bottom w:val="single" w:sz="4" w:space="0" w:color="auto"/>
            </w:tcBorders>
            <w:shd w:val="clear" w:color="auto" w:fill="auto"/>
            <w:noWrap/>
            <w:vAlign w:val="bottom"/>
            <w:hideMark/>
          </w:tcPr>
          <w:p w14:paraId="0D861B56"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6CD3653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113,28</w:t>
            </w:r>
          </w:p>
        </w:tc>
        <w:tc>
          <w:tcPr>
            <w:tcW w:w="357" w:type="dxa"/>
            <w:tcBorders>
              <w:bottom w:val="single" w:sz="4" w:space="0" w:color="auto"/>
            </w:tcBorders>
            <w:shd w:val="clear" w:color="auto" w:fill="auto"/>
            <w:noWrap/>
            <w:vAlign w:val="bottom"/>
            <w:hideMark/>
          </w:tcPr>
          <w:p w14:paraId="04DDF66D"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52435D2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117,88</w:t>
            </w:r>
          </w:p>
        </w:tc>
        <w:tc>
          <w:tcPr>
            <w:tcW w:w="357" w:type="dxa"/>
            <w:tcBorders>
              <w:bottom w:val="single" w:sz="4" w:space="0" w:color="auto"/>
            </w:tcBorders>
            <w:shd w:val="clear" w:color="auto" w:fill="auto"/>
            <w:noWrap/>
            <w:vAlign w:val="bottom"/>
            <w:hideMark/>
          </w:tcPr>
          <w:p w14:paraId="7D5AA6A4"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bottom w:val="single" w:sz="4" w:space="0" w:color="auto"/>
            </w:tcBorders>
            <w:shd w:val="clear" w:color="auto" w:fill="auto"/>
            <w:noWrap/>
            <w:vAlign w:val="bottom"/>
            <w:hideMark/>
          </w:tcPr>
          <w:p w14:paraId="19B7E83A"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92,49</w:t>
            </w:r>
          </w:p>
        </w:tc>
        <w:tc>
          <w:tcPr>
            <w:tcW w:w="479" w:type="dxa"/>
            <w:tcBorders>
              <w:bottom w:val="single" w:sz="4" w:space="0" w:color="auto"/>
            </w:tcBorders>
            <w:shd w:val="clear" w:color="auto" w:fill="auto"/>
            <w:noWrap/>
            <w:vAlign w:val="bottom"/>
            <w:hideMark/>
          </w:tcPr>
          <w:p w14:paraId="3F54BC48"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bottom w:val="single" w:sz="4" w:space="0" w:color="auto"/>
            </w:tcBorders>
            <w:shd w:val="clear" w:color="auto" w:fill="auto"/>
            <w:noWrap/>
            <w:vAlign w:val="bottom"/>
            <w:hideMark/>
          </w:tcPr>
          <w:p w14:paraId="30C7ED60"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72,95</w:t>
            </w:r>
          </w:p>
        </w:tc>
        <w:tc>
          <w:tcPr>
            <w:tcW w:w="376" w:type="dxa"/>
            <w:tcBorders>
              <w:bottom w:val="single" w:sz="4" w:space="0" w:color="auto"/>
            </w:tcBorders>
            <w:shd w:val="clear" w:color="auto" w:fill="auto"/>
            <w:noWrap/>
            <w:vAlign w:val="bottom"/>
            <w:hideMark/>
          </w:tcPr>
          <w:p w14:paraId="00EA3FD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481706E" w14:textId="77777777" w:rsidTr="007352CD">
        <w:trPr>
          <w:trHeight w:val="20"/>
          <w:jc w:val="center"/>
        </w:trPr>
        <w:tc>
          <w:tcPr>
            <w:tcW w:w="7938" w:type="dxa"/>
            <w:gridSpan w:val="11"/>
            <w:tcBorders>
              <w:top w:val="single" w:sz="4" w:space="0" w:color="auto"/>
              <w:bottom w:val="single" w:sz="4" w:space="0" w:color="auto"/>
            </w:tcBorders>
            <w:shd w:val="clear" w:color="auto" w:fill="auto"/>
            <w:noWrap/>
            <w:vAlign w:val="center"/>
          </w:tcPr>
          <w:p w14:paraId="4D522C7C" w14:textId="77777777" w:rsidR="006B566E" w:rsidRPr="000879E7" w:rsidRDefault="006B566E" w:rsidP="006B566E">
            <w:pPr>
              <w:keepNext/>
              <w:widowControl/>
              <w:spacing w:line="240" w:lineRule="auto"/>
              <w:jc w:val="left"/>
              <w:rPr>
                <w:rFonts w:ascii="Arial" w:hAnsi="Arial" w:cs="Arial"/>
                <w:bCs/>
                <w:color w:val="000000"/>
                <w:sz w:val="14"/>
                <w:szCs w:val="14"/>
              </w:rPr>
            </w:pPr>
            <w:r w:rsidRPr="000879E7">
              <w:rPr>
                <w:rFonts w:ascii="Arial" w:hAnsi="Arial" w:cs="Arial"/>
                <w:bCs/>
                <w:color w:val="000000"/>
                <w:sz w:val="14"/>
                <w:szCs w:val="14"/>
              </w:rPr>
              <w:t>PAINEL C – CONTROLE FAMILIAR (FAM)</w:t>
            </w:r>
          </w:p>
        </w:tc>
      </w:tr>
      <w:tr w:rsidR="006B566E" w:rsidRPr="000879E7" w14:paraId="30897B40" w14:textId="77777777" w:rsidTr="007352CD">
        <w:trPr>
          <w:trHeight w:val="20"/>
          <w:jc w:val="center"/>
        </w:trPr>
        <w:tc>
          <w:tcPr>
            <w:tcW w:w="1753" w:type="dxa"/>
            <w:tcBorders>
              <w:top w:val="single" w:sz="4" w:space="0" w:color="auto"/>
            </w:tcBorders>
            <w:shd w:val="clear" w:color="auto" w:fill="auto"/>
            <w:noWrap/>
            <w:vAlign w:val="bottom"/>
            <w:hideMark/>
          </w:tcPr>
          <w:p w14:paraId="54C30E91"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FAM</w:t>
            </w:r>
          </w:p>
        </w:tc>
        <w:tc>
          <w:tcPr>
            <w:tcW w:w="854" w:type="dxa"/>
            <w:tcBorders>
              <w:top w:val="single" w:sz="4" w:space="0" w:color="auto"/>
            </w:tcBorders>
            <w:shd w:val="clear" w:color="auto" w:fill="auto"/>
            <w:noWrap/>
            <w:vAlign w:val="bottom"/>
            <w:hideMark/>
          </w:tcPr>
          <w:p w14:paraId="5A12AC03"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357" w:type="dxa"/>
            <w:tcBorders>
              <w:top w:val="single" w:sz="4" w:space="0" w:color="auto"/>
            </w:tcBorders>
            <w:shd w:val="clear" w:color="auto" w:fill="auto"/>
            <w:noWrap/>
            <w:vAlign w:val="bottom"/>
            <w:hideMark/>
          </w:tcPr>
          <w:p w14:paraId="195DD90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tcBorders>
              <w:top w:val="single" w:sz="4" w:space="0" w:color="auto"/>
            </w:tcBorders>
            <w:shd w:val="clear" w:color="auto" w:fill="auto"/>
            <w:noWrap/>
            <w:vAlign w:val="bottom"/>
            <w:hideMark/>
          </w:tcPr>
          <w:p w14:paraId="405C285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-0,178</w:t>
            </w:r>
          </w:p>
        </w:tc>
        <w:tc>
          <w:tcPr>
            <w:tcW w:w="357" w:type="dxa"/>
            <w:tcBorders>
              <w:top w:val="single" w:sz="4" w:space="0" w:color="auto"/>
            </w:tcBorders>
            <w:shd w:val="clear" w:color="auto" w:fill="auto"/>
            <w:noWrap/>
            <w:vAlign w:val="bottom"/>
            <w:hideMark/>
          </w:tcPr>
          <w:p w14:paraId="2A83F43C"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233D73D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-0,111</w:t>
            </w:r>
          </w:p>
        </w:tc>
        <w:tc>
          <w:tcPr>
            <w:tcW w:w="357" w:type="dxa"/>
            <w:tcBorders>
              <w:top w:val="single" w:sz="4" w:space="0" w:color="auto"/>
            </w:tcBorders>
            <w:shd w:val="clear" w:color="auto" w:fill="auto"/>
            <w:noWrap/>
            <w:vAlign w:val="bottom"/>
            <w:hideMark/>
          </w:tcPr>
          <w:p w14:paraId="0791FB5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top w:val="single" w:sz="4" w:space="0" w:color="auto"/>
            </w:tcBorders>
            <w:shd w:val="clear" w:color="auto" w:fill="auto"/>
            <w:noWrap/>
            <w:vAlign w:val="bottom"/>
            <w:hideMark/>
          </w:tcPr>
          <w:p w14:paraId="0663F23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-0,039</w:t>
            </w:r>
          </w:p>
        </w:tc>
        <w:tc>
          <w:tcPr>
            <w:tcW w:w="479" w:type="dxa"/>
            <w:tcBorders>
              <w:top w:val="single" w:sz="4" w:space="0" w:color="auto"/>
            </w:tcBorders>
            <w:shd w:val="clear" w:color="auto" w:fill="auto"/>
            <w:noWrap/>
            <w:vAlign w:val="bottom"/>
            <w:hideMark/>
          </w:tcPr>
          <w:p w14:paraId="435068B2"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top w:val="single" w:sz="4" w:space="0" w:color="auto"/>
            </w:tcBorders>
            <w:shd w:val="clear" w:color="auto" w:fill="auto"/>
            <w:noWrap/>
            <w:vAlign w:val="bottom"/>
            <w:hideMark/>
          </w:tcPr>
          <w:p w14:paraId="7ECD556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376" w:type="dxa"/>
            <w:tcBorders>
              <w:top w:val="single" w:sz="4" w:space="0" w:color="auto"/>
            </w:tcBorders>
            <w:shd w:val="clear" w:color="auto" w:fill="auto"/>
            <w:noWrap/>
            <w:vAlign w:val="bottom"/>
            <w:hideMark/>
          </w:tcPr>
          <w:p w14:paraId="2651F0A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r>
      <w:tr w:rsidR="006B566E" w:rsidRPr="000879E7" w14:paraId="7162173F" w14:textId="77777777" w:rsidTr="007352CD">
        <w:trPr>
          <w:trHeight w:val="20"/>
          <w:jc w:val="center"/>
        </w:trPr>
        <w:tc>
          <w:tcPr>
            <w:tcW w:w="1753" w:type="dxa"/>
            <w:shd w:val="clear" w:color="auto" w:fill="auto"/>
            <w:noWrap/>
            <w:vAlign w:val="bottom"/>
            <w:hideMark/>
          </w:tcPr>
          <w:p w14:paraId="254A1E84" w14:textId="77777777" w:rsidR="006B566E" w:rsidRPr="000879E7" w:rsidRDefault="006B566E" w:rsidP="006B566E">
            <w:pPr>
              <w:keepNext/>
              <w:widowControl/>
              <w:spacing w:line="240" w:lineRule="auto"/>
              <w:jc w:val="left"/>
              <w:rPr>
                <w:rFonts w:ascii="Arial" w:eastAsia="Calibri" w:hAnsi="Arial" w:cs="Arial"/>
                <w:sz w:val="14"/>
                <w:szCs w:val="14"/>
                <w:lang w:eastAsia="en-US"/>
              </w:rPr>
            </w:pPr>
          </w:p>
        </w:tc>
        <w:tc>
          <w:tcPr>
            <w:tcW w:w="1211" w:type="dxa"/>
            <w:gridSpan w:val="2"/>
            <w:shd w:val="clear" w:color="auto" w:fill="auto"/>
            <w:noWrap/>
            <w:vAlign w:val="bottom"/>
            <w:hideMark/>
          </w:tcPr>
          <w:p w14:paraId="278186BF"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212" w:type="dxa"/>
            <w:gridSpan w:val="2"/>
            <w:shd w:val="clear" w:color="auto" w:fill="auto"/>
            <w:noWrap/>
            <w:vAlign w:val="bottom"/>
            <w:hideMark/>
          </w:tcPr>
          <w:p w14:paraId="2F1B0A3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212" w:type="dxa"/>
            <w:gridSpan w:val="2"/>
            <w:shd w:val="clear" w:color="auto" w:fill="auto"/>
            <w:noWrap/>
            <w:vAlign w:val="bottom"/>
            <w:hideMark/>
          </w:tcPr>
          <w:p w14:paraId="3B643FC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(0,021)</w:t>
            </w:r>
          </w:p>
        </w:tc>
        <w:tc>
          <w:tcPr>
            <w:tcW w:w="1428" w:type="dxa"/>
            <w:gridSpan w:val="2"/>
            <w:shd w:val="clear" w:color="auto" w:fill="auto"/>
            <w:noWrap/>
            <w:vAlign w:val="bottom"/>
            <w:hideMark/>
          </w:tcPr>
          <w:p w14:paraId="0FF017B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(0,013)</w:t>
            </w:r>
          </w:p>
        </w:tc>
        <w:tc>
          <w:tcPr>
            <w:tcW w:w="1122" w:type="dxa"/>
            <w:gridSpan w:val="2"/>
            <w:shd w:val="clear" w:color="auto" w:fill="auto"/>
            <w:noWrap/>
            <w:vAlign w:val="bottom"/>
            <w:hideMark/>
          </w:tcPr>
          <w:p w14:paraId="08CB1144"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(0,018)</w:t>
            </w:r>
          </w:p>
        </w:tc>
      </w:tr>
      <w:tr w:rsidR="006B566E" w:rsidRPr="000879E7" w14:paraId="7CC84E32" w14:textId="77777777" w:rsidTr="007352CD">
        <w:trPr>
          <w:trHeight w:val="20"/>
          <w:jc w:val="center"/>
        </w:trPr>
        <w:tc>
          <w:tcPr>
            <w:tcW w:w="1753" w:type="dxa"/>
            <w:shd w:val="clear" w:color="auto" w:fill="auto"/>
            <w:noWrap/>
            <w:vAlign w:val="bottom"/>
            <w:hideMark/>
          </w:tcPr>
          <w:p w14:paraId="5B22B8E8"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L.TAM</w:t>
            </w:r>
          </w:p>
        </w:tc>
        <w:tc>
          <w:tcPr>
            <w:tcW w:w="854" w:type="dxa"/>
            <w:shd w:val="clear" w:color="auto" w:fill="auto"/>
            <w:noWrap/>
            <w:vAlign w:val="bottom"/>
            <w:hideMark/>
          </w:tcPr>
          <w:p w14:paraId="5E1C813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57" w:type="dxa"/>
            <w:shd w:val="clear" w:color="auto" w:fill="auto"/>
            <w:noWrap/>
            <w:vAlign w:val="bottom"/>
            <w:hideMark/>
          </w:tcPr>
          <w:p w14:paraId="0695C1CC"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3A38660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0,000</w:t>
            </w:r>
          </w:p>
        </w:tc>
        <w:tc>
          <w:tcPr>
            <w:tcW w:w="357" w:type="dxa"/>
            <w:shd w:val="clear" w:color="auto" w:fill="auto"/>
            <w:noWrap/>
            <w:vAlign w:val="bottom"/>
            <w:hideMark/>
          </w:tcPr>
          <w:p w14:paraId="20AF203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7973B99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0,027</w:t>
            </w:r>
          </w:p>
        </w:tc>
        <w:tc>
          <w:tcPr>
            <w:tcW w:w="357" w:type="dxa"/>
            <w:shd w:val="clear" w:color="auto" w:fill="auto"/>
            <w:noWrap/>
            <w:vAlign w:val="bottom"/>
            <w:hideMark/>
          </w:tcPr>
          <w:p w14:paraId="67A4C1DB"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shd w:val="clear" w:color="auto" w:fill="auto"/>
            <w:noWrap/>
            <w:vAlign w:val="bottom"/>
            <w:hideMark/>
          </w:tcPr>
          <w:p w14:paraId="36ADD84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0,006</w:t>
            </w:r>
          </w:p>
        </w:tc>
        <w:tc>
          <w:tcPr>
            <w:tcW w:w="479" w:type="dxa"/>
            <w:shd w:val="clear" w:color="auto" w:fill="auto"/>
            <w:noWrap/>
            <w:vAlign w:val="bottom"/>
            <w:hideMark/>
          </w:tcPr>
          <w:p w14:paraId="464F274F"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shd w:val="clear" w:color="auto" w:fill="auto"/>
            <w:noWrap/>
            <w:vAlign w:val="bottom"/>
            <w:hideMark/>
          </w:tcPr>
          <w:p w14:paraId="65A3E3C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0,010</w:t>
            </w:r>
          </w:p>
        </w:tc>
        <w:tc>
          <w:tcPr>
            <w:tcW w:w="376" w:type="dxa"/>
            <w:shd w:val="clear" w:color="auto" w:fill="auto"/>
            <w:noWrap/>
            <w:vAlign w:val="bottom"/>
            <w:hideMark/>
          </w:tcPr>
          <w:p w14:paraId="5B664094"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326E4A1" w14:textId="77777777" w:rsidTr="007352CD">
        <w:trPr>
          <w:trHeight w:val="20"/>
          <w:jc w:val="center"/>
        </w:trPr>
        <w:tc>
          <w:tcPr>
            <w:tcW w:w="1753" w:type="dxa"/>
            <w:shd w:val="clear" w:color="auto" w:fill="auto"/>
            <w:noWrap/>
            <w:vAlign w:val="bottom"/>
            <w:hideMark/>
          </w:tcPr>
          <w:p w14:paraId="2B6CCB9A"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07CB9B1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290A0B37"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015CFD7F"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428" w:type="dxa"/>
            <w:gridSpan w:val="2"/>
            <w:shd w:val="clear" w:color="auto" w:fill="auto"/>
            <w:noWrap/>
            <w:vAlign w:val="bottom"/>
            <w:hideMark/>
          </w:tcPr>
          <w:p w14:paraId="6775B3AC"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(0,003)</w:t>
            </w:r>
          </w:p>
        </w:tc>
        <w:tc>
          <w:tcPr>
            <w:tcW w:w="1122" w:type="dxa"/>
            <w:gridSpan w:val="2"/>
            <w:shd w:val="clear" w:color="auto" w:fill="auto"/>
            <w:noWrap/>
            <w:vAlign w:val="bottom"/>
            <w:hideMark/>
          </w:tcPr>
          <w:p w14:paraId="297AB2B7"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r>
      <w:tr w:rsidR="006B566E" w:rsidRPr="000879E7" w14:paraId="558AC1C8" w14:textId="77777777" w:rsidTr="007352CD">
        <w:trPr>
          <w:trHeight w:val="20"/>
          <w:jc w:val="center"/>
        </w:trPr>
        <w:tc>
          <w:tcPr>
            <w:tcW w:w="1753" w:type="dxa"/>
            <w:shd w:val="clear" w:color="auto" w:fill="auto"/>
            <w:noWrap/>
            <w:vAlign w:val="bottom"/>
            <w:hideMark/>
          </w:tcPr>
          <w:p w14:paraId="661DDFA2"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L.ROE</w:t>
            </w:r>
          </w:p>
        </w:tc>
        <w:tc>
          <w:tcPr>
            <w:tcW w:w="854" w:type="dxa"/>
            <w:shd w:val="clear" w:color="auto" w:fill="auto"/>
            <w:noWrap/>
            <w:vAlign w:val="bottom"/>
            <w:hideMark/>
          </w:tcPr>
          <w:p w14:paraId="2319405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0,010</w:t>
            </w:r>
          </w:p>
        </w:tc>
        <w:tc>
          <w:tcPr>
            <w:tcW w:w="357" w:type="dxa"/>
            <w:shd w:val="clear" w:color="auto" w:fill="auto"/>
            <w:noWrap/>
            <w:vAlign w:val="bottom"/>
            <w:hideMark/>
          </w:tcPr>
          <w:p w14:paraId="1AC51D93"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170C421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-0,049</w:t>
            </w:r>
          </w:p>
        </w:tc>
        <w:tc>
          <w:tcPr>
            <w:tcW w:w="357" w:type="dxa"/>
            <w:shd w:val="clear" w:color="auto" w:fill="auto"/>
            <w:noWrap/>
            <w:vAlign w:val="bottom"/>
            <w:hideMark/>
          </w:tcPr>
          <w:p w14:paraId="4C4FE383"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2FD8082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0,034</w:t>
            </w:r>
          </w:p>
        </w:tc>
        <w:tc>
          <w:tcPr>
            <w:tcW w:w="357" w:type="dxa"/>
            <w:shd w:val="clear" w:color="auto" w:fill="auto"/>
            <w:noWrap/>
            <w:vAlign w:val="bottom"/>
            <w:hideMark/>
          </w:tcPr>
          <w:p w14:paraId="0DBDD22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949" w:type="dxa"/>
            <w:shd w:val="clear" w:color="auto" w:fill="auto"/>
            <w:noWrap/>
            <w:vAlign w:val="bottom"/>
            <w:hideMark/>
          </w:tcPr>
          <w:p w14:paraId="46330F8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479" w:type="dxa"/>
            <w:shd w:val="clear" w:color="auto" w:fill="auto"/>
            <w:noWrap/>
            <w:vAlign w:val="bottom"/>
            <w:hideMark/>
          </w:tcPr>
          <w:p w14:paraId="2FE7C28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746" w:type="dxa"/>
            <w:shd w:val="clear" w:color="auto" w:fill="auto"/>
            <w:noWrap/>
            <w:vAlign w:val="bottom"/>
            <w:hideMark/>
          </w:tcPr>
          <w:p w14:paraId="691F758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76" w:type="dxa"/>
            <w:shd w:val="clear" w:color="auto" w:fill="auto"/>
            <w:noWrap/>
            <w:vAlign w:val="bottom"/>
            <w:hideMark/>
          </w:tcPr>
          <w:p w14:paraId="76EBF7B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933D8B2" w14:textId="77777777" w:rsidTr="007352CD">
        <w:trPr>
          <w:trHeight w:val="20"/>
          <w:jc w:val="center"/>
        </w:trPr>
        <w:tc>
          <w:tcPr>
            <w:tcW w:w="1753" w:type="dxa"/>
            <w:shd w:val="clear" w:color="auto" w:fill="auto"/>
            <w:noWrap/>
            <w:vAlign w:val="bottom"/>
            <w:hideMark/>
          </w:tcPr>
          <w:p w14:paraId="4738E634"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6CE43CD8"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c>
          <w:tcPr>
            <w:tcW w:w="1212" w:type="dxa"/>
            <w:gridSpan w:val="2"/>
            <w:shd w:val="clear" w:color="auto" w:fill="auto"/>
            <w:noWrap/>
            <w:vAlign w:val="bottom"/>
            <w:hideMark/>
          </w:tcPr>
          <w:p w14:paraId="0AFF1026"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(0,023)</w:t>
            </w:r>
          </w:p>
        </w:tc>
        <w:tc>
          <w:tcPr>
            <w:tcW w:w="1212" w:type="dxa"/>
            <w:gridSpan w:val="2"/>
            <w:shd w:val="clear" w:color="auto" w:fill="auto"/>
            <w:noWrap/>
            <w:vAlign w:val="bottom"/>
            <w:hideMark/>
          </w:tcPr>
          <w:p w14:paraId="761B4802"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c>
          <w:tcPr>
            <w:tcW w:w="1428" w:type="dxa"/>
            <w:gridSpan w:val="2"/>
            <w:shd w:val="clear" w:color="auto" w:fill="auto"/>
            <w:noWrap/>
            <w:vAlign w:val="bottom"/>
            <w:hideMark/>
          </w:tcPr>
          <w:p w14:paraId="0FA67C80"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122" w:type="dxa"/>
            <w:gridSpan w:val="2"/>
            <w:shd w:val="clear" w:color="auto" w:fill="auto"/>
            <w:noWrap/>
            <w:vAlign w:val="bottom"/>
            <w:hideMark/>
          </w:tcPr>
          <w:p w14:paraId="0102F31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(0,024)</w:t>
            </w:r>
          </w:p>
        </w:tc>
      </w:tr>
      <w:tr w:rsidR="006B566E" w:rsidRPr="000879E7" w14:paraId="21A5FDFB" w14:textId="77777777" w:rsidTr="007352CD">
        <w:trPr>
          <w:trHeight w:val="20"/>
          <w:jc w:val="center"/>
        </w:trPr>
        <w:tc>
          <w:tcPr>
            <w:tcW w:w="1753" w:type="dxa"/>
            <w:tcBorders>
              <w:bottom w:val="single" w:sz="4" w:space="0" w:color="auto"/>
            </w:tcBorders>
            <w:shd w:val="clear" w:color="auto" w:fill="auto"/>
            <w:noWrap/>
            <w:vAlign w:val="center"/>
            <w:hideMark/>
          </w:tcPr>
          <w:p w14:paraId="050D18BC" w14:textId="77777777" w:rsidR="006B566E" w:rsidRPr="000879E7" w:rsidRDefault="006B566E" w:rsidP="006B566E">
            <w:pPr>
              <w:keepNext/>
              <w:widowControl/>
              <w:spacing w:line="240" w:lineRule="auto"/>
              <w:rPr>
                <w:rFonts w:ascii="Arial" w:eastAsia="Calibri" w:hAnsi="Arial" w:cs="Arial"/>
                <w:sz w:val="14"/>
                <w:szCs w:val="14"/>
                <w:lang w:eastAsia="en-US"/>
              </w:rPr>
            </w:pPr>
            <w:r w:rsidRPr="000879E7">
              <w:rPr>
                <w:rFonts w:ascii="Arial" w:eastAsia="Calibri" w:hAnsi="Arial" w:cs="Arial"/>
                <w:sz w:val="14"/>
                <w:szCs w:val="14"/>
                <w:lang w:eastAsia="en-US"/>
              </w:rPr>
              <w:t>Χ</w:t>
            </w:r>
            <w:r w:rsidRPr="000879E7">
              <w:rPr>
                <w:rFonts w:ascii="Arial" w:eastAsia="Calibri" w:hAnsi="Arial" w:cs="Arial"/>
                <w:sz w:val="14"/>
                <w:szCs w:val="14"/>
                <w:vertAlign w:val="superscript"/>
                <w:lang w:eastAsia="en-US"/>
              </w:rPr>
              <w:t>2</w:t>
            </w:r>
          </w:p>
        </w:tc>
        <w:tc>
          <w:tcPr>
            <w:tcW w:w="854" w:type="dxa"/>
            <w:tcBorders>
              <w:bottom w:val="single" w:sz="4" w:space="0" w:color="auto"/>
            </w:tcBorders>
            <w:shd w:val="clear" w:color="auto" w:fill="auto"/>
            <w:noWrap/>
            <w:vAlign w:val="bottom"/>
            <w:hideMark/>
          </w:tcPr>
          <w:p w14:paraId="627A8AB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274,75</w:t>
            </w:r>
          </w:p>
        </w:tc>
        <w:tc>
          <w:tcPr>
            <w:tcW w:w="357" w:type="dxa"/>
            <w:tcBorders>
              <w:bottom w:val="single" w:sz="4" w:space="0" w:color="auto"/>
            </w:tcBorders>
            <w:shd w:val="clear" w:color="auto" w:fill="auto"/>
            <w:noWrap/>
            <w:vAlign w:val="bottom"/>
            <w:hideMark/>
          </w:tcPr>
          <w:p w14:paraId="12292F1B"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5100EC5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190,24</w:t>
            </w:r>
          </w:p>
        </w:tc>
        <w:tc>
          <w:tcPr>
            <w:tcW w:w="357" w:type="dxa"/>
            <w:tcBorders>
              <w:bottom w:val="single" w:sz="4" w:space="0" w:color="auto"/>
            </w:tcBorders>
            <w:shd w:val="clear" w:color="auto" w:fill="auto"/>
            <w:noWrap/>
            <w:vAlign w:val="bottom"/>
            <w:hideMark/>
          </w:tcPr>
          <w:p w14:paraId="2B785F30"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43E87F2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138,67</w:t>
            </w:r>
          </w:p>
        </w:tc>
        <w:tc>
          <w:tcPr>
            <w:tcW w:w="357" w:type="dxa"/>
            <w:tcBorders>
              <w:bottom w:val="single" w:sz="4" w:space="0" w:color="auto"/>
            </w:tcBorders>
            <w:shd w:val="clear" w:color="auto" w:fill="auto"/>
            <w:noWrap/>
            <w:vAlign w:val="bottom"/>
            <w:hideMark/>
          </w:tcPr>
          <w:p w14:paraId="4962659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bottom w:val="single" w:sz="4" w:space="0" w:color="auto"/>
            </w:tcBorders>
            <w:shd w:val="clear" w:color="auto" w:fill="auto"/>
            <w:noWrap/>
            <w:vAlign w:val="bottom"/>
            <w:hideMark/>
          </w:tcPr>
          <w:p w14:paraId="5EE01FB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88,60</w:t>
            </w:r>
          </w:p>
        </w:tc>
        <w:tc>
          <w:tcPr>
            <w:tcW w:w="479" w:type="dxa"/>
            <w:tcBorders>
              <w:bottom w:val="single" w:sz="4" w:space="0" w:color="auto"/>
            </w:tcBorders>
            <w:shd w:val="clear" w:color="auto" w:fill="auto"/>
            <w:noWrap/>
            <w:vAlign w:val="bottom"/>
            <w:hideMark/>
          </w:tcPr>
          <w:p w14:paraId="572D320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bottom w:val="single" w:sz="4" w:space="0" w:color="auto"/>
            </w:tcBorders>
            <w:shd w:val="clear" w:color="auto" w:fill="auto"/>
            <w:noWrap/>
            <w:vAlign w:val="bottom"/>
            <w:hideMark/>
          </w:tcPr>
          <w:p w14:paraId="7BE5171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71,97</w:t>
            </w:r>
          </w:p>
        </w:tc>
        <w:tc>
          <w:tcPr>
            <w:tcW w:w="376" w:type="dxa"/>
            <w:tcBorders>
              <w:bottom w:val="single" w:sz="4" w:space="0" w:color="auto"/>
            </w:tcBorders>
            <w:shd w:val="clear" w:color="auto" w:fill="auto"/>
            <w:noWrap/>
            <w:vAlign w:val="bottom"/>
            <w:hideMark/>
          </w:tcPr>
          <w:p w14:paraId="1EB505A3"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31B9D3EB" w14:textId="77777777" w:rsidTr="007352CD">
        <w:trPr>
          <w:trHeight w:val="20"/>
          <w:jc w:val="center"/>
        </w:trPr>
        <w:tc>
          <w:tcPr>
            <w:tcW w:w="7938" w:type="dxa"/>
            <w:gridSpan w:val="11"/>
            <w:tcBorders>
              <w:top w:val="single" w:sz="4" w:space="0" w:color="auto"/>
              <w:bottom w:val="single" w:sz="4" w:space="0" w:color="auto"/>
            </w:tcBorders>
            <w:shd w:val="clear" w:color="auto" w:fill="auto"/>
            <w:noWrap/>
            <w:vAlign w:val="center"/>
          </w:tcPr>
          <w:p w14:paraId="780D4FC3" w14:textId="77777777" w:rsidR="006B566E" w:rsidRPr="000879E7" w:rsidRDefault="006B566E" w:rsidP="006B566E">
            <w:pPr>
              <w:keepNext/>
              <w:widowControl/>
              <w:spacing w:line="240" w:lineRule="auto"/>
              <w:jc w:val="left"/>
              <w:rPr>
                <w:rFonts w:ascii="Arial" w:hAnsi="Arial" w:cs="Arial"/>
                <w:bCs/>
                <w:color w:val="000000"/>
                <w:sz w:val="14"/>
                <w:szCs w:val="14"/>
              </w:rPr>
            </w:pPr>
            <w:r w:rsidRPr="000879E7">
              <w:rPr>
                <w:rFonts w:ascii="Arial" w:hAnsi="Arial" w:cs="Arial"/>
                <w:bCs/>
                <w:color w:val="000000"/>
                <w:sz w:val="14"/>
                <w:szCs w:val="14"/>
              </w:rPr>
              <w:t>PAINEL D – CONTROLE EMPRESARIAL (EMP)</w:t>
            </w:r>
          </w:p>
        </w:tc>
      </w:tr>
      <w:tr w:rsidR="006B566E" w:rsidRPr="000879E7" w14:paraId="328394D0" w14:textId="77777777" w:rsidTr="007352CD">
        <w:trPr>
          <w:trHeight w:val="20"/>
          <w:jc w:val="center"/>
        </w:trPr>
        <w:tc>
          <w:tcPr>
            <w:tcW w:w="1753" w:type="dxa"/>
            <w:tcBorders>
              <w:top w:val="single" w:sz="4" w:space="0" w:color="auto"/>
            </w:tcBorders>
            <w:shd w:val="clear" w:color="auto" w:fill="auto"/>
            <w:noWrap/>
            <w:vAlign w:val="bottom"/>
            <w:hideMark/>
          </w:tcPr>
          <w:p w14:paraId="41039D63"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EMP</w:t>
            </w:r>
          </w:p>
        </w:tc>
        <w:tc>
          <w:tcPr>
            <w:tcW w:w="854" w:type="dxa"/>
            <w:tcBorders>
              <w:top w:val="single" w:sz="4" w:space="0" w:color="auto"/>
            </w:tcBorders>
            <w:shd w:val="clear" w:color="auto" w:fill="auto"/>
            <w:noWrap/>
            <w:vAlign w:val="bottom"/>
            <w:hideMark/>
          </w:tcPr>
          <w:p w14:paraId="42B9AF96"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0,052</w:t>
            </w:r>
          </w:p>
        </w:tc>
        <w:tc>
          <w:tcPr>
            <w:tcW w:w="357" w:type="dxa"/>
            <w:tcBorders>
              <w:top w:val="single" w:sz="4" w:space="0" w:color="auto"/>
            </w:tcBorders>
            <w:shd w:val="clear" w:color="auto" w:fill="auto"/>
            <w:noWrap/>
            <w:vAlign w:val="bottom"/>
            <w:hideMark/>
          </w:tcPr>
          <w:p w14:paraId="6891F86A"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42F3DC1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-0,081</w:t>
            </w:r>
          </w:p>
        </w:tc>
        <w:tc>
          <w:tcPr>
            <w:tcW w:w="357" w:type="dxa"/>
            <w:tcBorders>
              <w:top w:val="single" w:sz="4" w:space="0" w:color="auto"/>
            </w:tcBorders>
            <w:shd w:val="clear" w:color="auto" w:fill="auto"/>
            <w:noWrap/>
            <w:vAlign w:val="bottom"/>
            <w:hideMark/>
          </w:tcPr>
          <w:p w14:paraId="204E3EB0"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74C7967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357" w:type="dxa"/>
            <w:tcBorders>
              <w:top w:val="single" w:sz="4" w:space="0" w:color="auto"/>
            </w:tcBorders>
            <w:shd w:val="clear" w:color="auto" w:fill="auto"/>
            <w:noWrap/>
            <w:vAlign w:val="bottom"/>
            <w:hideMark/>
          </w:tcPr>
          <w:p w14:paraId="27E52E3A"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949" w:type="dxa"/>
            <w:tcBorders>
              <w:top w:val="single" w:sz="4" w:space="0" w:color="auto"/>
            </w:tcBorders>
            <w:shd w:val="clear" w:color="auto" w:fill="auto"/>
            <w:noWrap/>
            <w:vAlign w:val="bottom"/>
            <w:hideMark/>
          </w:tcPr>
          <w:p w14:paraId="1E2B217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-0,063</w:t>
            </w:r>
          </w:p>
        </w:tc>
        <w:tc>
          <w:tcPr>
            <w:tcW w:w="479" w:type="dxa"/>
            <w:tcBorders>
              <w:top w:val="single" w:sz="4" w:space="0" w:color="auto"/>
            </w:tcBorders>
            <w:shd w:val="clear" w:color="auto" w:fill="auto"/>
            <w:noWrap/>
            <w:vAlign w:val="bottom"/>
            <w:hideMark/>
          </w:tcPr>
          <w:p w14:paraId="77AEB2A1"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top w:val="single" w:sz="4" w:space="0" w:color="auto"/>
            </w:tcBorders>
            <w:shd w:val="clear" w:color="auto" w:fill="auto"/>
            <w:noWrap/>
            <w:vAlign w:val="bottom"/>
            <w:hideMark/>
          </w:tcPr>
          <w:p w14:paraId="0407CEB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-0,035</w:t>
            </w:r>
          </w:p>
        </w:tc>
        <w:tc>
          <w:tcPr>
            <w:tcW w:w="376" w:type="dxa"/>
            <w:tcBorders>
              <w:top w:val="single" w:sz="4" w:space="0" w:color="auto"/>
            </w:tcBorders>
            <w:shd w:val="clear" w:color="auto" w:fill="auto"/>
            <w:noWrap/>
            <w:vAlign w:val="bottom"/>
            <w:hideMark/>
          </w:tcPr>
          <w:p w14:paraId="3A92F31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r>
      <w:tr w:rsidR="006B566E" w:rsidRPr="000879E7" w14:paraId="1F9EFB42" w14:textId="77777777" w:rsidTr="007352CD">
        <w:trPr>
          <w:trHeight w:val="20"/>
          <w:jc w:val="center"/>
        </w:trPr>
        <w:tc>
          <w:tcPr>
            <w:tcW w:w="1753" w:type="dxa"/>
            <w:shd w:val="clear" w:color="auto" w:fill="auto"/>
            <w:noWrap/>
            <w:vAlign w:val="bottom"/>
            <w:hideMark/>
          </w:tcPr>
          <w:p w14:paraId="7CF0CDE5" w14:textId="77777777" w:rsidR="006B566E" w:rsidRPr="000879E7" w:rsidRDefault="006B566E" w:rsidP="006B566E">
            <w:pPr>
              <w:keepNext/>
              <w:widowControl/>
              <w:spacing w:line="240" w:lineRule="auto"/>
              <w:jc w:val="left"/>
              <w:rPr>
                <w:rFonts w:ascii="Arial" w:eastAsia="Calibri" w:hAnsi="Arial" w:cs="Arial"/>
                <w:sz w:val="14"/>
                <w:szCs w:val="14"/>
                <w:lang w:eastAsia="en-US"/>
              </w:rPr>
            </w:pPr>
          </w:p>
        </w:tc>
        <w:tc>
          <w:tcPr>
            <w:tcW w:w="1211" w:type="dxa"/>
            <w:gridSpan w:val="2"/>
            <w:shd w:val="clear" w:color="auto" w:fill="auto"/>
            <w:noWrap/>
            <w:vAlign w:val="bottom"/>
            <w:hideMark/>
          </w:tcPr>
          <w:p w14:paraId="3D17BE55"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(0,020)</w:t>
            </w:r>
          </w:p>
        </w:tc>
        <w:tc>
          <w:tcPr>
            <w:tcW w:w="1212" w:type="dxa"/>
            <w:gridSpan w:val="2"/>
            <w:shd w:val="clear" w:color="auto" w:fill="auto"/>
            <w:noWrap/>
            <w:vAlign w:val="bottom"/>
            <w:hideMark/>
          </w:tcPr>
          <w:p w14:paraId="52ED8B55"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(0,023)</w:t>
            </w:r>
          </w:p>
        </w:tc>
        <w:tc>
          <w:tcPr>
            <w:tcW w:w="1212" w:type="dxa"/>
            <w:gridSpan w:val="2"/>
            <w:shd w:val="clear" w:color="auto" w:fill="auto"/>
            <w:noWrap/>
            <w:vAlign w:val="bottom"/>
            <w:hideMark/>
          </w:tcPr>
          <w:p w14:paraId="7E072E84"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(0,027)</w:t>
            </w:r>
          </w:p>
        </w:tc>
        <w:tc>
          <w:tcPr>
            <w:tcW w:w="1428" w:type="dxa"/>
            <w:gridSpan w:val="2"/>
            <w:shd w:val="clear" w:color="auto" w:fill="auto"/>
            <w:noWrap/>
            <w:vAlign w:val="bottom"/>
            <w:hideMark/>
          </w:tcPr>
          <w:p w14:paraId="74907AB5"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(0,016)</w:t>
            </w:r>
          </w:p>
        </w:tc>
        <w:tc>
          <w:tcPr>
            <w:tcW w:w="1122" w:type="dxa"/>
            <w:gridSpan w:val="2"/>
            <w:shd w:val="clear" w:color="auto" w:fill="auto"/>
            <w:noWrap/>
            <w:vAlign w:val="bottom"/>
            <w:hideMark/>
          </w:tcPr>
          <w:p w14:paraId="65C05C3A"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r>
      <w:tr w:rsidR="006B566E" w:rsidRPr="000879E7" w14:paraId="74FE8776" w14:textId="77777777" w:rsidTr="007352CD">
        <w:trPr>
          <w:trHeight w:val="20"/>
          <w:jc w:val="center"/>
        </w:trPr>
        <w:tc>
          <w:tcPr>
            <w:tcW w:w="1753" w:type="dxa"/>
            <w:shd w:val="clear" w:color="auto" w:fill="auto"/>
            <w:noWrap/>
            <w:vAlign w:val="bottom"/>
            <w:hideMark/>
          </w:tcPr>
          <w:p w14:paraId="3119D2D1"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L.TAM</w:t>
            </w:r>
          </w:p>
        </w:tc>
        <w:tc>
          <w:tcPr>
            <w:tcW w:w="854" w:type="dxa"/>
            <w:shd w:val="clear" w:color="auto" w:fill="auto"/>
            <w:noWrap/>
            <w:vAlign w:val="bottom"/>
            <w:hideMark/>
          </w:tcPr>
          <w:p w14:paraId="46B96C7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57" w:type="dxa"/>
            <w:shd w:val="clear" w:color="auto" w:fill="auto"/>
            <w:noWrap/>
            <w:vAlign w:val="bottom"/>
            <w:hideMark/>
          </w:tcPr>
          <w:p w14:paraId="528341E9"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10846D53"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357" w:type="dxa"/>
            <w:shd w:val="clear" w:color="auto" w:fill="auto"/>
            <w:noWrap/>
            <w:vAlign w:val="bottom"/>
            <w:hideMark/>
          </w:tcPr>
          <w:p w14:paraId="4362CF4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40B6FDF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0,030</w:t>
            </w:r>
          </w:p>
        </w:tc>
        <w:tc>
          <w:tcPr>
            <w:tcW w:w="357" w:type="dxa"/>
            <w:shd w:val="clear" w:color="auto" w:fill="auto"/>
            <w:noWrap/>
            <w:vAlign w:val="bottom"/>
            <w:hideMark/>
          </w:tcPr>
          <w:p w14:paraId="4739830F"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shd w:val="clear" w:color="auto" w:fill="auto"/>
            <w:noWrap/>
            <w:vAlign w:val="bottom"/>
            <w:hideMark/>
          </w:tcPr>
          <w:p w14:paraId="0465B53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0,008</w:t>
            </w:r>
          </w:p>
        </w:tc>
        <w:tc>
          <w:tcPr>
            <w:tcW w:w="479" w:type="dxa"/>
            <w:shd w:val="clear" w:color="auto" w:fill="auto"/>
            <w:noWrap/>
            <w:vAlign w:val="bottom"/>
            <w:hideMark/>
          </w:tcPr>
          <w:p w14:paraId="4CE6900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shd w:val="clear" w:color="auto" w:fill="auto"/>
            <w:noWrap/>
            <w:vAlign w:val="bottom"/>
            <w:hideMark/>
          </w:tcPr>
          <w:p w14:paraId="442FE5C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0,011</w:t>
            </w:r>
          </w:p>
        </w:tc>
        <w:tc>
          <w:tcPr>
            <w:tcW w:w="376" w:type="dxa"/>
            <w:shd w:val="clear" w:color="auto" w:fill="auto"/>
            <w:noWrap/>
            <w:vAlign w:val="bottom"/>
            <w:hideMark/>
          </w:tcPr>
          <w:p w14:paraId="7C8E2A6D"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55C0825A" w14:textId="77777777" w:rsidTr="007352CD">
        <w:trPr>
          <w:trHeight w:val="20"/>
          <w:jc w:val="center"/>
        </w:trPr>
        <w:tc>
          <w:tcPr>
            <w:tcW w:w="1753" w:type="dxa"/>
            <w:shd w:val="clear" w:color="auto" w:fill="auto"/>
            <w:noWrap/>
            <w:vAlign w:val="bottom"/>
            <w:hideMark/>
          </w:tcPr>
          <w:p w14:paraId="639FC169"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02CBC99E"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5F025829"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212" w:type="dxa"/>
            <w:gridSpan w:val="2"/>
            <w:shd w:val="clear" w:color="auto" w:fill="auto"/>
            <w:noWrap/>
            <w:vAlign w:val="bottom"/>
            <w:hideMark/>
          </w:tcPr>
          <w:p w14:paraId="77FD0BB6"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428" w:type="dxa"/>
            <w:gridSpan w:val="2"/>
            <w:shd w:val="clear" w:color="auto" w:fill="auto"/>
            <w:noWrap/>
            <w:vAlign w:val="bottom"/>
            <w:hideMark/>
          </w:tcPr>
          <w:p w14:paraId="41B74EC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(0,003)</w:t>
            </w:r>
          </w:p>
        </w:tc>
        <w:tc>
          <w:tcPr>
            <w:tcW w:w="1122" w:type="dxa"/>
            <w:gridSpan w:val="2"/>
            <w:shd w:val="clear" w:color="auto" w:fill="auto"/>
            <w:noWrap/>
            <w:vAlign w:val="bottom"/>
            <w:hideMark/>
          </w:tcPr>
          <w:p w14:paraId="30555C3E"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r>
      <w:tr w:rsidR="006B566E" w:rsidRPr="000879E7" w14:paraId="797282DA" w14:textId="77777777" w:rsidTr="007352CD">
        <w:trPr>
          <w:trHeight w:val="20"/>
          <w:jc w:val="center"/>
        </w:trPr>
        <w:tc>
          <w:tcPr>
            <w:tcW w:w="1753" w:type="dxa"/>
            <w:shd w:val="clear" w:color="auto" w:fill="auto"/>
            <w:noWrap/>
            <w:vAlign w:val="bottom"/>
            <w:hideMark/>
          </w:tcPr>
          <w:p w14:paraId="555589A4"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L.ROE</w:t>
            </w:r>
          </w:p>
        </w:tc>
        <w:tc>
          <w:tcPr>
            <w:tcW w:w="854" w:type="dxa"/>
            <w:shd w:val="clear" w:color="auto" w:fill="auto"/>
            <w:noWrap/>
            <w:vAlign w:val="bottom"/>
            <w:hideMark/>
          </w:tcPr>
          <w:p w14:paraId="4D8E355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0,007</w:t>
            </w:r>
          </w:p>
        </w:tc>
        <w:tc>
          <w:tcPr>
            <w:tcW w:w="357" w:type="dxa"/>
            <w:shd w:val="clear" w:color="auto" w:fill="auto"/>
            <w:noWrap/>
            <w:vAlign w:val="bottom"/>
            <w:hideMark/>
          </w:tcPr>
          <w:p w14:paraId="63A11F7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3742439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-0,071</w:t>
            </w:r>
          </w:p>
        </w:tc>
        <w:tc>
          <w:tcPr>
            <w:tcW w:w="357" w:type="dxa"/>
            <w:shd w:val="clear" w:color="auto" w:fill="auto"/>
            <w:noWrap/>
            <w:vAlign w:val="bottom"/>
            <w:hideMark/>
          </w:tcPr>
          <w:p w14:paraId="0429079A"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3515547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0,020</w:t>
            </w:r>
          </w:p>
        </w:tc>
        <w:tc>
          <w:tcPr>
            <w:tcW w:w="357" w:type="dxa"/>
            <w:shd w:val="clear" w:color="auto" w:fill="auto"/>
            <w:noWrap/>
            <w:vAlign w:val="bottom"/>
            <w:hideMark/>
          </w:tcPr>
          <w:p w14:paraId="0E55676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949" w:type="dxa"/>
            <w:shd w:val="clear" w:color="auto" w:fill="auto"/>
            <w:noWrap/>
            <w:vAlign w:val="bottom"/>
            <w:hideMark/>
          </w:tcPr>
          <w:p w14:paraId="7D6D2AB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0,000</w:t>
            </w:r>
          </w:p>
        </w:tc>
        <w:tc>
          <w:tcPr>
            <w:tcW w:w="479" w:type="dxa"/>
            <w:shd w:val="clear" w:color="auto" w:fill="auto"/>
            <w:noWrap/>
            <w:vAlign w:val="bottom"/>
            <w:hideMark/>
          </w:tcPr>
          <w:p w14:paraId="600CAD2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746" w:type="dxa"/>
            <w:shd w:val="clear" w:color="auto" w:fill="auto"/>
            <w:noWrap/>
            <w:vAlign w:val="bottom"/>
            <w:hideMark/>
          </w:tcPr>
          <w:p w14:paraId="615CC3E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76" w:type="dxa"/>
            <w:shd w:val="clear" w:color="auto" w:fill="auto"/>
            <w:noWrap/>
            <w:vAlign w:val="bottom"/>
            <w:hideMark/>
          </w:tcPr>
          <w:p w14:paraId="3ED4815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3067E5F8" w14:textId="77777777" w:rsidTr="007352CD">
        <w:trPr>
          <w:trHeight w:val="20"/>
          <w:jc w:val="center"/>
        </w:trPr>
        <w:tc>
          <w:tcPr>
            <w:tcW w:w="1753" w:type="dxa"/>
            <w:shd w:val="clear" w:color="auto" w:fill="auto"/>
            <w:noWrap/>
            <w:vAlign w:val="bottom"/>
            <w:hideMark/>
          </w:tcPr>
          <w:p w14:paraId="3912D164"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21F7CE42"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c>
          <w:tcPr>
            <w:tcW w:w="1212" w:type="dxa"/>
            <w:gridSpan w:val="2"/>
            <w:shd w:val="clear" w:color="auto" w:fill="auto"/>
            <w:noWrap/>
            <w:vAlign w:val="bottom"/>
            <w:hideMark/>
          </w:tcPr>
          <w:p w14:paraId="3AB08727"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(0,025)</w:t>
            </w:r>
          </w:p>
        </w:tc>
        <w:tc>
          <w:tcPr>
            <w:tcW w:w="1212" w:type="dxa"/>
            <w:gridSpan w:val="2"/>
            <w:shd w:val="clear" w:color="auto" w:fill="auto"/>
            <w:noWrap/>
            <w:vAlign w:val="bottom"/>
            <w:hideMark/>
          </w:tcPr>
          <w:p w14:paraId="213DC075"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c>
          <w:tcPr>
            <w:tcW w:w="1428" w:type="dxa"/>
            <w:gridSpan w:val="2"/>
            <w:shd w:val="clear" w:color="auto" w:fill="auto"/>
            <w:noWrap/>
            <w:vAlign w:val="bottom"/>
            <w:hideMark/>
          </w:tcPr>
          <w:p w14:paraId="590D017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122" w:type="dxa"/>
            <w:gridSpan w:val="2"/>
            <w:shd w:val="clear" w:color="auto" w:fill="auto"/>
            <w:noWrap/>
            <w:vAlign w:val="bottom"/>
            <w:hideMark/>
          </w:tcPr>
          <w:p w14:paraId="62FD746A"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(0,024)</w:t>
            </w:r>
          </w:p>
        </w:tc>
      </w:tr>
      <w:tr w:rsidR="006B566E" w:rsidRPr="000879E7" w14:paraId="51D52C1A" w14:textId="77777777" w:rsidTr="007352CD">
        <w:trPr>
          <w:trHeight w:val="20"/>
          <w:jc w:val="center"/>
        </w:trPr>
        <w:tc>
          <w:tcPr>
            <w:tcW w:w="1753" w:type="dxa"/>
            <w:tcBorders>
              <w:bottom w:val="single" w:sz="4" w:space="0" w:color="auto"/>
            </w:tcBorders>
            <w:shd w:val="clear" w:color="auto" w:fill="auto"/>
            <w:noWrap/>
            <w:vAlign w:val="center"/>
            <w:hideMark/>
          </w:tcPr>
          <w:p w14:paraId="1CEE1E4F" w14:textId="77777777" w:rsidR="006B566E" w:rsidRPr="000879E7" w:rsidRDefault="006B566E" w:rsidP="006B566E">
            <w:pPr>
              <w:keepNext/>
              <w:widowControl/>
              <w:spacing w:line="240" w:lineRule="auto"/>
              <w:rPr>
                <w:rFonts w:ascii="Arial" w:eastAsia="Calibri" w:hAnsi="Arial" w:cs="Arial"/>
                <w:sz w:val="14"/>
                <w:szCs w:val="14"/>
                <w:lang w:eastAsia="en-US"/>
              </w:rPr>
            </w:pPr>
            <w:r w:rsidRPr="000879E7">
              <w:rPr>
                <w:rFonts w:ascii="Arial" w:eastAsia="Calibri" w:hAnsi="Arial" w:cs="Arial"/>
                <w:sz w:val="14"/>
                <w:szCs w:val="14"/>
                <w:lang w:eastAsia="en-US"/>
              </w:rPr>
              <w:t>Χ</w:t>
            </w:r>
            <w:r w:rsidRPr="000879E7">
              <w:rPr>
                <w:rFonts w:ascii="Arial" w:eastAsia="Calibri" w:hAnsi="Arial" w:cs="Arial"/>
                <w:sz w:val="14"/>
                <w:szCs w:val="14"/>
                <w:vertAlign w:val="superscript"/>
                <w:lang w:eastAsia="en-US"/>
              </w:rPr>
              <w:t>2</w:t>
            </w:r>
          </w:p>
        </w:tc>
        <w:tc>
          <w:tcPr>
            <w:tcW w:w="854" w:type="dxa"/>
            <w:tcBorders>
              <w:bottom w:val="single" w:sz="4" w:space="0" w:color="auto"/>
            </w:tcBorders>
            <w:shd w:val="clear" w:color="auto" w:fill="auto"/>
            <w:noWrap/>
            <w:vAlign w:val="bottom"/>
            <w:hideMark/>
          </w:tcPr>
          <w:p w14:paraId="760D6D8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282,22</w:t>
            </w:r>
          </w:p>
        </w:tc>
        <w:tc>
          <w:tcPr>
            <w:tcW w:w="357" w:type="dxa"/>
            <w:tcBorders>
              <w:bottom w:val="single" w:sz="4" w:space="0" w:color="auto"/>
            </w:tcBorders>
            <w:shd w:val="clear" w:color="auto" w:fill="auto"/>
            <w:noWrap/>
            <w:vAlign w:val="bottom"/>
            <w:hideMark/>
          </w:tcPr>
          <w:p w14:paraId="7C30A48B"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71255F1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87,19</w:t>
            </w:r>
          </w:p>
        </w:tc>
        <w:tc>
          <w:tcPr>
            <w:tcW w:w="357" w:type="dxa"/>
            <w:tcBorders>
              <w:bottom w:val="single" w:sz="4" w:space="0" w:color="auto"/>
            </w:tcBorders>
            <w:shd w:val="clear" w:color="auto" w:fill="auto"/>
            <w:noWrap/>
            <w:vAlign w:val="bottom"/>
            <w:hideMark/>
          </w:tcPr>
          <w:p w14:paraId="41BE7D54"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bottom w:val="single" w:sz="4" w:space="0" w:color="auto"/>
            </w:tcBorders>
            <w:shd w:val="clear" w:color="auto" w:fill="auto"/>
            <w:noWrap/>
            <w:vAlign w:val="bottom"/>
            <w:hideMark/>
          </w:tcPr>
          <w:p w14:paraId="43DAD65C"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107,38</w:t>
            </w:r>
          </w:p>
        </w:tc>
        <w:tc>
          <w:tcPr>
            <w:tcW w:w="357" w:type="dxa"/>
            <w:tcBorders>
              <w:bottom w:val="single" w:sz="4" w:space="0" w:color="auto"/>
            </w:tcBorders>
            <w:shd w:val="clear" w:color="auto" w:fill="auto"/>
            <w:noWrap/>
            <w:vAlign w:val="bottom"/>
            <w:hideMark/>
          </w:tcPr>
          <w:p w14:paraId="3D5E4EE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bottom w:val="single" w:sz="4" w:space="0" w:color="auto"/>
            </w:tcBorders>
            <w:shd w:val="clear" w:color="auto" w:fill="auto"/>
            <w:noWrap/>
            <w:vAlign w:val="bottom"/>
            <w:hideMark/>
          </w:tcPr>
          <w:p w14:paraId="6605D8B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96,03</w:t>
            </w:r>
          </w:p>
        </w:tc>
        <w:tc>
          <w:tcPr>
            <w:tcW w:w="479" w:type="dxa"/>
            <w:tcBorders>
              <w:bottom w:val="single" w:sz="4" w:space="0" w:color="auto"/>
            </w:tcBorders>
            <w:shd w:val="clear" w:color="auto" w:fill="auto"/>
            <w:noWrap/>
            <w:vAlign w:val="bottom"/>
            <w:hideMark/>
          </w:tcPr>
          <w:p w14:paraId="09570A4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tcBorders>
              <w:bottom w:val="single" w:sz="4" w:space="0" w:color="auto"/>
            </w:tcBorders>
            <w:shd w:val="clear" w:color="auto" w:fill="auto"/>
            <w:noWrap/>
            <w:vAlign w:val="bottom"/>
            <w:hideMark/>
          </w:tcPr>
          <w:p w14:paraId="6B31B83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74,73</w:t>
            </w:r>
          </w:p>
        </w:tc>
        <w:tc>
          <w:tcPr>
            <w:tcW w:w="376" w:type="dxa"/>
            <w:tcBorders>
              <w:bottom w:val="single" w:sz="4" w:space="0" w:color="auto"/>
            </w:tcBorders>
            <w:shd w:val="clear" w:color="auto" w:fill="auto"/>
            <w:noWrap/>
            <w:vAlign w:val="bottom"/>
            <w:hideMark/>
          </w:tcPr>
          <w:p w14:paraId="6D758DFE"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65C10A64" w14:textId="77777777" w:rsidTr="007352CD">
        <w:trPr>
          <w:trHeight w:val="20"/>
          <w:jc w:val="center"/>
        </w:trPr>
        <w:tc>
          <w:tcPr>
            <w:tcW w:w="7938" w:type="dxa"/>
            <w:gridSpan w:val="11"/>
            <w:tcBorders>
              <w:top w:val="single" w:sz="4" w:space="0" w:color="auto"/>
              <w:bottom w:val="single" w:sz="4" w:space="0" w:color="auto"/>
            </w:tcBorders>
            <w:shd w:val="clear" w:color="auto" w:fill="auto"/>
            <w:noWrap/>
            <w:vAlign w:val="bottom"/>
          </w:tcPr>
          <w:p w14:paraId="7A09D1C2" w14:textId="77777777" w:rsidR="006B566E" w:rsidRPr="000879E7" w:rsidRDefault="006B566E" w:rsidP="006B566E">
            <w:pPr>
              <w:keepNext/>
              <w:widowControl/>
              <w:spacing w:line="240" w:lineRule="auto"/>
              <w:jc w:val="left"/>
              <w:rPr>
                <w:rFonts w:ascii="Arial" w:hAnsi="Arial" w:cs="Arial"/>
                <w:bCs/>
                <w:color w:val="000000"/>
                <w:sz w:val="14"/>
                <w:szCs w:val="14"/>
              </w:rPr>
            </w:pPr>
            <w:r w:rsidRPr="000879E7">
              <w:rPr>
                <w:rFonts w:ascii="Arial" w:hAnsi="Arial" w:cs="Arial"/>
                <w:bCs/>
                <w:color w:val="000000"/>
                <w:sz w:val="14"/>
                <w:szCs w:val="14"/>
              </w:rPr>
              <w:t>PAINEL E – CONTROLE GOVERNAMENTAL (GOV)</w:t>
            </w:r>
          </w:p>
        </w:tc>
      </w:tr>
      <w:tr w:rsidR="006B566E" w:rsidRPr="000879E7" w14:paraId="7C18FC9A" w14:textId="77777777" w:rsidTr="007352CD">
        <w:trPr>
          <w:trHeight w:val="20"/>
          <w:jc w:val="center"/>
        </w:trPr>
        <w:tc>
          <w:tcPr>
            <w:tcW w:w="1753" w:type="dxa"/>
            <w:tcBorders>
              <w:top w:val="single" w:sz="4" w:space="0" w:color="auto"/>
            </w:tcBorders>
            <w:shd w:val="clear" w:color="auto" w:fill="auto"/>
            <w:noWrap/>
            <w:vAlign w:val="bottom"/>
            <w:hideMark/>
          </w:tcPr>
          <w:p w14:paraId="39B8958A"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GOV</w:t>
            </w:r>
          </w:p>
        </w:tc>
        <w:tc>
          <w:tcPr>
            <w:tcW w:w="854" w:type="dxa"/>
            <w:tcBorders>
              <w:top w:val="single" w:sz="4" w:space="0" w:color="auto"/>
            </w:tcBorders>
            <w:shd w:val="clear" w:color="auto" w:fill="auto"/>
            <w:noWrap/>
            <w:vAlign w:val="bottom"/>
            <w:hideMark/>
          </w:tcPr>
          <w:p w14:paraId="794DA89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-0,112</w:t>
            </w:r>
          </w:p>
        </w:tc>
        <w:tc>
          <w:tcPr>
            <w:tcW w:w="357" w:type="dxa"/>
            <w:tcBorders>
              <w:top w:val="single" w:sz="4" w:space="0" w:color="auto"/>
            </w:tcBorders>
            <w:shd w:val="clear" w:color="auto" w:fill="auto"/>
            <w:noWrap/>
            <w:vAlign w:val="bottom"/>
            <w:hideMark/>
          </w:tcPr>
          <w:p w14:paraId="3349CAC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30F4FC00"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0,106</w:t>
            </w:r>
          </w:p>
        </w:tc>
        <w:tc>
          <w:tcPr>
            <w:tcW w:w="357" w:type="dxa"/>
            <w:tcBorders>
              <w:top w:val="single" w:sz="4" w:space="0" w:color="auto"/>
            </w:tcBorders>
            <w:shd w:val="clear" w:color="auto" w:fill="auto"/>
            <w:noWrap/>
            <w:vAlign w:val="bottom"/>
            <w:hideMark/>
          </w:tcPr>
          <w:p w14:paraId="41745F52"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tcBorders>
              <w:top w:val="single" w:sz="4" w:space="0" w:color="auto"/>
            </w:tcBorders>
            <w:shd w:val="clear" w:color="auto" w:fill="auto"/>
            <w:noWrap/>
            <w:vAlign w:val="bottom"/>
            <w:hideMark/>
          </w:tcPr>
          <w:p w14:paraId="2879A60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0,104</w:t>
            </w:r>
          </w:p>
        </w:tc>
        <w:tc>
          <w:tcPr>
            <w:tcW w:w="357" w:type="dxa"/>
            <w:tcBorders>
              <w:top w:val="single" w:sz="4" w:space="0" w:color="auto"/>
            </w:tcBorders>
            <w:shd w:val="clear" w:color="auto" w:fill="auto"/>
            <w:noWrap/>
            <w:vAlign w:val="bottom"/>
            <w:hideMark/>
          </w:tcPr>
          <w:p w14:paraId="5DE34131"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tcBorders>
              <w:top w:val="single" w:sz="4" w:space="0" w:color="auto"/>
            </w:tcBorders>
            <w:shd w:val="clear" w:color="auto" w:fill="auto"/>
            <w:noWrap/>
            <w:vAlign w:val="bottom"/>
            <w:hideMark/>
          </w:tcPr>
          <w:p w14:paraId="7248EF2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-0,006</w:t>
            </w:r>
          </w:p>
        </w:tc>
        <w:tc>
          <w:tcPr>
            <w:tcW w:w="479" w:type="dxa"/>
            <w:tcBorders>
              <w:top w:val="single" w:sz="4" w:space="0" w:color="auto"/>
            </w:tcBorders>
            <w:shd w:val="clear" w:color="auto" w:fill="auto"/>
            <w:noWrap/>
            <w:vAlign w:val="bottom"/>
            <w:hideMark/>
          </w:tcPr>
          <w:p w14:paraId="730BC31F"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746" w:type="dxa"/>
            <w:tcBorders>
              <w:top w:val="single" w:sz="4" w:space="0" w:color="auto"/>
            </w:tcBorders>
            <w:shd w:val="clear" w:color="auto" w:fill="auto"/>
            <w:noWrap/>
            <w:vAlign w:val="bottom"/>
            <w:hideMark/>
          </w:tcPr>
          <w:p w14:paraId="25496430"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c>
          <w:tcPr>
            <w:tcW w:w="376" w:type="dxa"/>
            <w:tcBorders>
              <w:top w:val="single" w:sz="4" w:space="0" w:color="auto"/>
            </w:tcBorders>
            <w:shd w:val="clear" w:color="auto" w:fill="auto"/>
            <w:noWrap/>
            <w:vAlign w:val="bottom"/>
            <w:hideMark/>
          </w:tcPr>
          <w:p w14:paraId="0B955CE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r>
      <w:tr w:rsidR="006B566E" w:rsidRPr="000879E7" w14:paraId="34DDE132" w14:textId="77777777" w:rsidTr="007352CD">
        <w:trPr>
          <w:trHeight w:val="20"/>
          <w:jc w:val="center"/>
        </w:trPr>
        <w:tc>
          <w:tcPr>
            <w:tcW w:w="1753" w:type="dxa"/>
            <w:shd w:val="clear" w:color="auto" w:fill="auto"/>
            <w:noWrap/>
            <w:vAlign w:val="bottom"/>
            <w:hideMark/>
          </w:tcPr>
          <w:p w14:paraId="659F8A1E" w14:textId="77777777" w:rsidR="006B566E" w:rsidRPr="000879E7" w:rsidRDefault="006B566E" w:rsidP="006B566E">
            <w:pPr>
              <w:keepNext/>
              <w:widowControl/>
              <w:spacing w:line="240" w:lineRule="auto"/>
              <w:jc w:val="left"/>
              <w:rPr>
                <w:rFonts w:ascii="Arial" w:eastAsia="Calibri" w:hAnsi="Arial" w:cs="Arial"/>
                <w:sz w:val="14"/>
                <w:szCs w:val="14"/>
                <w:lang w:eastAsia="en-US"/>
              </w:rPr>
            </w:pPr>
          </w:p>
        </w:tc>
        <w:tc>
          <w:tcPr>
            <w:tcW w:w="1211" w:type="dxa"/>
            <w:gridSpan w:val="2"/>
            <w:shd w:val="clear" w:color="auto" w:fill="auto"/>
            <w:noWrap/>
            <w:vAlign w:val="bottom"/>
            <w:hideMark/>
          </w:tcPr>
          <w:p w14:paraId="34828993"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(0,027)</w:t>
            </w:r>
          </w:p>
        </w:tc>
        <w:tc>
          <w:tcPr>
            <w:tcW w:w="1212" w:type="dxa"/>
            <w:gridSpan w:val="2"/>
            <w:shd w:val="clear" w:color="auto" w:fill="auto"/>
            <w:noWrap/>
            <w:vAlign w:val="bottom"/>
            <w:hideMark/>
          </w:tcPr>
          <w:p w14:paraId="0EE49CB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(0,030)</w:t>
            </w:r>
          </w:p>
        </w:tc>
        <w:tc>
          <w:tcPr>
            <w:tcW w:w="1212" w:type="dxa"/>
            <w:gridSpan w:val="2"/>
            <w:shd w:val="clear" w:color="auto" w:fill="auto"/>
            <w:noWrap/>
            <w:vAlign w:val="bottom"/>
            <w:hideMark/>
          </w:tcPr>
          <w:p w14:paraId="735D5A9E"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(0,035)</w:t>
            </w:r>
          </w:p>
        </w:tc>
        <w:tc>
          <w:tcPr>
            <w:tcW w:w="1428" w:type="dxa"/>
            <w:gridSpan w:val="2"/>
            <w:shd w:val="clear" w:color="auto" w:fill="auto"/>
            <w:noWrap/>
            <w:vAlign w:val="bottom"/>
            <w:hideMark/>
          </w:tcPr>
          <w:p w14:paraId="5F6A5170"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(0,021)</w:t>
            </w:r>
          </w:p>
        </w:tc>
        <w:tc>
          <w:tcPr>
            <w:tcW w:w="1122" w:type="dxa"/>
            <w:gridSpan w:val="2"/>
            <w:shd w:val="clear" w:color="auto" w:fill="auto"/>
            <w:noWrap/>
            <w:vAlign w:val="bottom"/>
            <w:hideMark/>
          </w:tcPr>
          <w:p w14:paraId="0CC32137"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r>
      <w:tr w:rsidR="006B566E" w:rsidRPr="000879E7" w14:paraId="1952084C" w14:textId="77777777" w:rsidTr="007352CD">
        <w:trPr>
          <w:trHeight w:val="20"/>
          <w:jc w:val="center"/>
        </w:trPr>
        <w:tc>
          <w:tcPr>
            <w:tcW w:w="1753" w:type="dxa"/>
            <w:shd w:val="clear" w:color="auto" w:fill="auto"/>
            <w:noWrap/>
            <w:vAlign w:val="bottom"/>
            <w:hideMark/>
          </w:tcPr>
          <w:p w14:paraId="3F150711"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L.TAM</w:t>
            </w:r>
          </w:p>
        </w:tc>
        <w:tc>
          <w:tcPr>
            <w:tcW w:w="854" w:type="dxa"/>
            <w:shd w:val="clear" w:color="auto" w:fill="auto"/>
            <w:noWrap/>
            <w:vAlign w:val="bottom"/>
            <w:hideMark/>
          </w:tcPr>
          <w:p w14:paraId="24BCF117"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0,056</w:t>
            </w:r>
          </w:p>
        </w:tc>
        <w:tc>
          <w:tcPr>
            <w:tcW w:w="357" w:type="dxa"/>
            <w:shd w:val="clear" w:color="auto" w:fill="auto"/>
            <w:noWrap/>
            <w:vAlign w:val="bottom"/>
            <w:hideMark/>
          </w:tcPr>
          <w:p w14:paraId="7F79D7FE"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006026E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0,002</w:t>
            </w:r>
          </w:p>
        </w:tc>
        <w:tc>
          <w:tcPr>
            <w:tcW w:w="357" w:type="dxa"/>
            <w:shd w:val="clear" w:color="auto" w:fill="auto"/>
            <w:noWrap/>
            <w:vAlign w:val="bottom"/>
            <w:hideMark/>
          </w:tcPr>
          <w:p w14:paraId="03C16109"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2CB4461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0,028</w:t>
            </w:r>
          </w:p>
        </w:tc>
        <w:tc>
          <w:tcPr>
            <w:tcW w:w="357" w:type="dxa"/>
            <w:shd w:val="clear" w:color="auto" w:fill="auto"/>
            <w:noWrap/>
            <w:vAlign w:val="bottom"/>
            <w:hideMark/>
          </w:tcPr>
          <w:p w14:paraId="1AF12AC5"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shd w:val="clear" w:color="auto" w:fill="auto"/>
            <w:noWrap/>
            <w:vAlign w:val="bottom"/>
            <w:hideMark/>
          </w:tcPr>
          <w:p w14:paraId="31028F63"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0,008</w:t>
            </w:r>
          </w:p>
        </w:tc>
        <w:tc>
          <w:tcPr>
            <w:tcW w:w="479" w:type="dxa"/>
            <w:shd w:val="clear" w:color="auto" w:fill="auto"/>
            <w:noWrap/>
            <w:vAlign w:val="bottom"/>
            <w:hideMark/>
          </w:tcPr>
          <w:p w14:paraId="4A43938E"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shd w:val="clear" w:color="auto" w:fill="auto"/>
            <w:noWrap/>
            <w:vAlign w:val="bottom"/>
            <w:hideMark/>
          </w:tcPr>
          <w:p w14:paraId="1D8094D4"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0,010</w:t>
            </w:r>
          </w:p>
        </w:tc>
        <w:tc>
          <w:tcPr>
            <w:tcW w:w="376" w:type="dxa"/>
            <w:shd w:val="clear" w:color="auto" w:fill="auto"/>
            <w:noWrap/>
            <w:vAlign w:val="bottom"/>
            <w:hideMark/>
          </w:tcPr>
          <w:p w14:paraId="68DA49E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5F0AB4CA" w14:textId="77777777" w:rsidTr="007352CD">
        <w:trPr>
          <w:trHeight w:val="20"/>
          <w:jc w:val="center"/>
        </w:trPr>
        <w:tc>
          <w:tcPr>
            <w:tcW w:w="1753" w:type="dxa"/>
            <w:shd w:val="clear" w:color="auto" w:fill="auto"/>
            <w:noWrap/>
            <w:vAlign w:val="bottom"/>
            <w:hideMark/>
          </w:tcPr>
          <w:p w14:paraId="7B151C3B"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73E8EE5A"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c>
          <w:tcPr>
            <w:tcW w:w="1212" w:type="dxa"/>
            <w:gridSpan w:val="2"/>
            <w:shd w:val="clear" w:color="auto" w:fill="auto"/>
            <w:noWrap/>
            <w:vAlign w:val="bottom"/>
            <w:hideMark/>
          </w:tcPr>
          <w:p w14:paraId="4A0CFAB1"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212" w:type="dxa"/>
            <w:gridSpan w:val="2"/>
            <w:shd w:val="clear" w:color="auto" w:fill="auto"/>
            <w:noWrap/>
            <w:vAlign w:val="bottom"/>
            <w:hideMark/>
          </w:tcPr>
          <w:p w14:paraId="6EFA25D9"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(0,005)</w:t>
            </w:r>
          </w:p>
        </w:tc>
        <w:tc>
          <w:tcPr>
            <w:tcW w:w="1428" w:type="dxa"/>
            <w:gridSpan w:val="2"/>
            <w:shd w:val="clear" w:color="auto" w:fill="auto"/>
            <w:noWrap/>
            <w:vAlign w:val="bottom"/>
            <w:hideMark/>
          </w:tcPr>
          <w:p w14:paraId="0D8AF5F6"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(0,003)</w:t>
            </w:r>
          </w:p>
        </w:tc>
        <w:tc>
          <w:tcPr>
            <w:tcW w:w="1122" w:type="dxa"/>
            <w:gridSpan w:val="2"/>
            <w:shd w:val="clear" w:color="auto" w:fill="auto"/>
            <w:noWrap/>
            <w:vAlign w:val="bottom"/>
            <w:hideMark/>
          </w:tcPr>
          <w:p w14:paraId="270AA939"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(0,004)</w:t>
            </w:r>
          </w:p>
        </w:tc>
      </w:tr>
      <w:tr w:rsidR="006B566E" w:rsidRPr="000879E7" w14:paraId="0845D782" w14:textId="77777777" w:rsidTr="007352CD">
        <w:trPr>
          <w:trHeight w:val="20"/>
          <w:jc w:val="center"/>
        </w:trPr>
        <w:tc>
          <w:tcPr>
            <w:tcW w:w="1753" w:type="dxa"/>
            <w:shd w:val="clear" w:color="auto" w:fill="auto"/>
            <w:noWrap/>
            <w:vAlign w:val="bottom"/>
            <w:hideMark/>
          </w:tcPr>
          <w:p w14:paraId="38C6955B"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L.ROE</w:t>
            </w:r>
          </w:p>
        </w:tc>
        <w:tc>
          <w:tcPr>
            <w:tcW w:w="854" w:type="dxa"/>
            <w:shd w:val="clear" w:color="auto" w:fill="auto"/>
            <w:noWrap/>
            <w:vAlign w:val="bottom"/>
            <w:hideMark/>
          </w:tcPr>
          <w:p w14:paraId="355C941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0,007</w:t>
            </w:r>
          </w:p>
        </w:tc>
        <w:tc>
          <w:tcPr>
            <w:tcW w:w="357" w:type="dxa"/>
            <w:shd w:val="clear" w:color="auto" w:fill="auto"/>
            <w:noWrap/>
            <w:vAlign w:val="bottom"/>
            <w:hideMark/>
          </w:tcPr>
          <w:p w14:paraId="3BA9C32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855" w:type="dxa"/>
            <w:shd w:val="clear" w:color="auto" w:fill="auto"/>
            <w:noWrap/>
            <w:vAlign w:val="bottom"/>
            <w:hideMark/>
          </w:tcPr>
          <w:p w14:paraId="7AB124C8"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-0,071</w:t>
            </w:r>
          </w:p>
        </w:tc>
        <w:tc>
          <w:tcPr>
            <w:tcW w:w="357" w:type="dxa"/>
            <w:shd w:val="clear" w:color="auto" w:fill="auto"/>
            <w:noWrap/>
            <w:vAlign w:val="bottom"/>
            <w:hideMark/>
          </w:tcPr>
          <w:p w14:paraId="78DCF68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4FEA8C3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0,021</w:t>
            </w:r>
          </w:p>
        </w:tc>
        <w:tc>
          <w:tcPr>
            <w:tcW w:w="357" w:type="dxa"/>
            <w:shd w:val="clear" w:color="auto" w:fill="auto"/>
            <w:noWrap/>
            <w:vAlign w:val="bottom"/>
            <w:hideMark/>
          </w:tcPr>
          <w:p w14:paraId="7411AE22"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949" w:type="dxa"/>
            <w:shd w:val="clear" w:color="auto" w:fill="auto"/>
            <w:noWrap/>
            <w:vAlign w:val="bottom"/>
            <w:hideMark/>
          </w:tcPr>
          <w:p w14:paraId="6552493B"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-0,001</w:t>
            </w:r>
          </w:p>
        </w:tc>
        <w:tc>
          <w:tcPr>
            <w:tcW w:w="479" w:type="dxa"/>
            <w:shd w:val="clear" w:color="auto" w:fill="auto"/>
            <w:noWrap/>
            <w:vAlign w:val="bottom"/>
            <w:hideMark/>
          </w:tcPr>
          <w:p w14:paraId="20D0587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p>
        </w:tc>
        <w:tc>
          <w:tcPr>
            <w:tcW w:w="746" w:type="dxa"/>
            <w:shd w:val="clear" w:color="auto" w:fill="auto"/>
            <w:noWrap/>
            <w:vAlign w:val="bottom"/>
            <w:hideMark/>
          </w:tcPr>
          <w:p w14:paraId="73DDB220"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0,054</w:t>
            </w:r>
          </w:p>
        </w:tc>
        <w:tc>
          <w:tcPr>
            <w:tcW w:w="376" w:type="dxa"/>
            <w:shd w:val="clear" w:color="auto" w:fill="auto"/>
            <w:noWrap/>
            <w:vAlign w:val="bottom"/>
            <w:hideMark/>
          </w:tcPr>
          <w:p w14:paraId="1B0775FB"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r w:rsidR="006B566E" w:rsidRPr="000879E7" w14:paraId="5E450EA3" w14:textId="77777777" w:rsidTr="007352CD">
        <w:trPr>
          <w:trHeight w:val="20"/>
          <w:jc w:val="center"/>
        </w:trPr>
        <w:tc>
          <w:tcPr>
            <w:tcW w:w="1753" w:type="dxa"/>
            <w:shd w:val="clear" w:color="auto" w:fill="auto"/>
            <w:noWrap/>
            <w:vAlign w:val="bottom"/>
            <w:hideMark/>
          </w:tcPr>
          <w:p w14:paraId="7A6947FA" w14:textId="77777777" w:rsidR="006B566E" w:rsidRPr="000879E7" w:rsidRDefault="006B566E" w:rsidP="006B566E">
            <w:pPr>
              <w:keepNext/>
              <w:widowControl/>
              <w:spacing w:line="240" w:lineRule="auto"/>
              <w:jc w:val="left"/>
              <w:rPr>
                <w:rFonts w:ascii="Arial" w:eastAsia="Calibri" w:hAnsi="Arial" w:cs="Arial"/>
                <w:color w:val="000000"/>
                <w:sz w:val="14"/>
                <w:szCs w:val="14"/>
                <w:lang w:eastAsia="en-US"/>
              </w:rPr>
            </w:pPr>
          </w:p>
        </w:tc>
        <w:tc>
          <w:tcPr>
            <w:tcW w:w="1211" w:type="dxa"/>
            <w:gridSpan w:val="2"/>
            <w:shd w:val="clear" w:color="auto" w:fill="auto"/>
            <w:noWrap/>
            <w:vAlign w:val="bottom"/>
            <w:hideMark/>
          </w:tcPr>
          <w:p w14:paraId="33FB330A"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(0,022)</w:t>
            </w:r>
          </w:p>
        </w:tc>
        <w:tc>
          <w:tcPr>
            <w:tcW w:w="1212" w:type="dxa"/>
            <w:gridSpan w:val="2"/>
            <w:shd w:val="clear" w:color="auto" w:fill="auto"/>
            <w:noWrap/>
            <w:vAlign w:val="bottom"/>
            <w:hideMark/>
          </w:tcPr>
          <w:p w14:paraId="46E1CBCB"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(0,025)</w:t>
            </w:r>
          </w:p>
        </w:tc>
        <w:tc>
          <w:tcPr>
            <w:tcW w:w="1212" w:type="dxa"/>
            <w:gridSpan w:val="2"/>
            <w:shd w:val="clear" w:color="auto" w:fill="auto"/>
            <w:noWrap/>
            <w:vAlign w:val="bottom"/>
            <w:hideMark/>
          </w:tcPr>
          <w:p w14:paraId="5F53F752"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(0,029)</w:t>
            </w:r>
          </w:p>
        </w:tc>
        <w:tc>
          <w:tcPr>
            <w:tcW w:w="1428" w:type="dxa"/>
            <w:gridSpan w:val="2"/>
            <w:shd w:val="clear" w:color="auto" w:fill="auto"/>
            <w:noWrap/>
            <w:vAlign w:val="bottom"/>
            <w:hideMark/>
          </w:tcPr>
          <w:p w14:paraId="3343F70E"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(0,017)</w:t>
            </w:r>
          </w:p>
        </w:tc>
        <w:tc>
          <w:tcPr>
            <w:tcW w:w="1122" w:type="dxa"/>
            <w:gridSpan w:val="2"/>
            <w:shd w:val="clear" w:color="auto" w:fill="auto"/>
            <w:noWrap/>
            <w:vAlign w:val="bottom"/>
            <w:hideMark/>
          </w:tcPr>
          <w:p w14:paraId="5169AE00" w14:textId="77777777" w:rsidR="006B566E" w:rsidRPr="000879E7" w:rsidRDefault="006B566E" w:rsidP="006B566E">
            <w:pPr>
              <w:keepNext/>
              <w:widowControl/>
              <w:spacing w:line="240" w:lineRule="auto"/>
              <w:ind w:left="-57" w:right="-57"/>
              <w:jc w:val="center"/>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(0,024)</w:t>
            </w:r>
          </w:p>
        </w:tc>
      </w:tr>
      <w:tr w:rsidR="006B566E" w:rsidRPr="000879E7" w14:paraId="208FEAC3" w14:textId="77777777" w:rsidTr="007352CD">
        <w:trPr>
          <w:trHeight w:val="20"/>
          <w:jc w:val="center"/>
        </w:trPr>
        <w:tc>
          <w:tcPr>
            <w:tcW w:w="1753" w:type="dxa"/>
            <w:shd w:val="clear" w:color="auto" w:fill="auto"/>
            <w:noWrap/>
            <w:vAlign w:val="center"/>
            <w:hideMark/>
          </w:tcPr>
          <w:p w14:paraId="1A4F7ED9" w14:textId="77777777" w:rsidR="006B566E" w:rsidRPr="000879E7" w:rsidRDefault="006B566E" w:rsidP="006B566E">
            <w:pPr>
              <w:keepNext/>
              <w:widowControl/>
              <w:spacing w:line="240" w:lineRule="auto"/>
              <w:rPr>
                <w:rFonts w:ascii="Arial" w:eastAsia="Calibri" w:hAnsi="Arial" w:cs="Arial"/>
                <w:sz w:val="14"/>
                <w:szCs w:val="14"/>
                <w:lang w:eastAsia="en-US"/>
              </w:rPr>
            </w:pPr>
            <w:r w:rsidRPr="000879E7">
              <w:rPr>
                <w:rFonts w:ascii="Arial" w:eastAsia="Calibri" w:hAnsi="Arial" w:cs="Arial"/>
                <w:sz w:val="14"/>
                <w:szCs w:val="14"/>
                <w:lang w:eastAsia="en-US"/>
              </w:rPr>
              <w:t>Χ</w:t>
            </w:r>
            <w:r w:rsidRPr="000879E7">
              <w:rPr>
                <w:rFonts w:ascii="Arial" w:eastAsia="Calibri" w:hAnsi="Arial" w:cs="Arial"/>
                <w:sz w:val="14"/>
                <w:szCs w:val="14"/>
                <w:vertAlign w:val="superscript"/>
                <w:lang w:eastAsia="en-US"/>
              </w:rPr>
              <w:t>2</w:t>
            </w:r>
          </w:p>
        </w:tc>
        <w:tc>
          <w:tcPr>
            <w:tcW w:w="854" w:type="dxa"/>
            <w:shd w:val="clear" w:color="auto" w:fill="auto"/>
            <w:noWrap/>
            <w:vAlign w:val="bottom"/>
            <w:hideMark/>
          </w:tcPr>
          <w:p w14:paraId="76C2196E"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297,33</w:t>
            </w:r>
          </w:p>
        </w:tc>
        <w:tc>
          <w:tcPr>
            <w:tcW w:w="357" w:type="dxa"/>
            <w:shd w:val="clear" w:color="auto" w:fill="auto"/>
            <w:noWrap/>
            <w:vAlign w:val="bottom"/>
            <w:hideMark/>
          </w:tcPr>
          <w:p w14:paraId="0F567F8F"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04684853"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86,77</w:t>
            </w:r>
          </w:p>
        </w:tc>
        <w:tc>
          <w:tcPr>
            <w:tcW w:w="357" w:type="dxa"/>
            <w:shd w:val="clear" w:color="auto" w:fill="auto"/>
            <w:noWrap/>
            <w:vAlign w:val="bottom"/>
            <w:hideMark/>
          </w:tcPr>
          <w:p w14:paraId="2FAB548C"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855" w:type="dxa"/>
            <w:shd w:val="clear" w:color="auto" w:fill="auto"/>
            <w:noWrap/>
            <w:vAlign w:val="bottom"/>
            <w:hideMark/>
          </w:tcPr>
          <w:p w14:paraId="5AD741C5"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117,14</w:t>
            </w:r>
          </w:p>
        </w:tc>
        <w:tc>
          <w:tcPr>
            <w:tcW w:w="357" w:type="dxa"/>
            <w:shd w:val="clear" w:color="auto" w:fill="auto"/>
            <w:noWrap/>
            <w:vAlign w:val="bottom"/>
            <w:hideMark/>
          </w:tcPr>
          <w:p w14:paraId="0F030447"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949" w:type="dxa"/>
            <w:shd w:val="clear" w:color="auto" w:fill="auto"/>
            <w:noWrap/>
            <w:vAlign w:val="bottom"/>
            <w:hideMark/>
          </w:tcPr>
          <w:p w14:paraId="01C7C5E1"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78,76</w:t>
            </w:r>
          </w:p>
        </w:tc>
        <w:tc>
          <w:tcPr>
            <w:tcW w:w="479" w:type="dxa"/>
            <w:shd w:val="clear" w:color="auto" w:fill="auto"/>
            <w:noWrap/>
            <w:vAlign w:val="bottom"/>
            <w:hideMark/>
          </w:tcPr>
          <w:p w14:paraId="67FEF10C"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c>
          <w:tcPr>
            <w:tcW w:w="746" w:type="dxa"/>
            <w:shd w:val="clear" w:color="auto" w:fill="auto"/>
            <w:noWrap/>
            <w:vAlign w:val="bottom"/>
            <w:hideMark/>
          </w:tcPr>
          <w:p w14:paraId="3A724EED" w14:textId="77777777" w:rsidR="006B566E" w:rsidRPr="000879E7" w:rsidRDefault="006B566E" w:rsidP="006B566E">
            <w:pPr>
              <w:keepNext/>
              <w:widowControl/>
              <w:spacing w:line="240" w:lineRule="auto"/>
              <w:ind w:left="-57" w:right="-57"/>
              <w:jc w:val="righ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72,56</w:t>
            </w:r>
          </w:p>
        </w:tc>
        <w:tc>
          <w:tcPr>
            <w:tcW w:w="376" w:type="dxa"/>
            <w:shd w:val="clear" w:color="auto" w:fill="auto"/>
            <w:noWrap/>
            <w:vAlign w:val="bottom"/>
            <w:hideMark/>
          </w:tcPr>
          <w:p w14:paraId="4E4AA45A" w14:textId="77777777" w:rsidR="006B566E" w:rsidRPr="000879E7" w:rsidRDefault="006B566E" w:rsidP="006B566E">
            <w:pPr>
              <w:keepNext/>
              <w:widowControl/>
              <w:spacing w:line="240" w:lineRule="auto"/>
              <w:ind w:left="-57" w:right="-57"/>
              <w:jc w:val="left"/>
              <w:rPr>
                <w:rFonts w:ascii="Arial" w:eastAsia="Calibri" w:hAnsi="Arial" w:cs="Arial"/>
                <w:color w:val="000000"/>
                <w:sz w:val="14"/>
                <w:szCs w:val="14"/>
                <w:lang w:eastAsia="en-US"/>
              </w:rPr>
            </w:pPr>
            <w:r w:rsidRPr="000879E7">
              <w:rPr>
                <w:rFonts w:ascii="Arial" w:eastAsia="Calibri" w:hAnsi="Arial" w:cs="Arial"/>
                <w:color w:val="000000"/>
                <w:sz w:val="14"/>
                <w:szCs w:val="14"/>
                <w:lang w:eastAsia="en-US"/>
              </w:rPr>
              <w:t>***</w:t>
            </w:r>
          </w:p>
        </w:tc>
      </w:tr>
    </w:tbl>
    <w:p w14:paraId="4C2DFB0E" w14:textId="77777777" w:rsidR="006B566E" w:rsidRPr="006B566E" w:rsidRDefault="00211989" w:rsidP="00BD7A67">
      <w:pPr>
        <w:widowControl/>
        <w:spacing w:before="40" w:after="240" w:line="240" w:lineRule="auto"/>
        <w:rPr>
          <w:rFonts w:ascii="Arial" w:eastAsia="Calibri" w:hAnsi="Arial" w:cs="Arial"/>
          <w:lang w:eastAsia="en-US"/>
        </w:rPr>
      </w:pPr>
      <w:r w:rsidRPr="00211989">
        <w:rPr>
          <w:rFonts w:ascii="Arial" w:eastAsia="Calibri" w:hAnsi="Arial" w:cs="Arial"/>
          <w:sz w:val="14"/>
          <w:szCs w:val="14"/>
          <w:lang w:eastAsia="en-US"/>
        </w:rPr>
        <w:t xml:space="preserve">Análise de regressão com modelagem </w:t>
      </w:r>
      <w:r w:rsidRPr="00211989">
        <w:rPr>
          <w:rFonts w:ascii="Arial" w:eastAsia="Calibri" w:hAnsi="Arial" w:cs="Arial"/>
          <w:i/>
          <w:sz w:val="14"/>
          <w:szCs w:val="14"/>
          <w:lang w:eastAsia="en-US"/>
        </w:rPr>
        <w:t>Feasible Generalized Least Squares</w:t>
      </w:r>
      <w:r w:rsidRPr="00211989">
        <w:rPr>
          <w:rFonts w:ascii="Arial" w:eastAsia="Calibri" w:hAnsi="Arial" w:cs="Arial"/>
          <w:sz w:val="14"/>
          <w:szCs w:val="14"/>
          <w:lang w:eastAsia="en-US"/>
        </w:rPr>
        <w:t xml:space="preserve">. </w:t>
      </w:r>
      <w:r w:rsidRPr="00211989">
        <w:rPr>
          <w:rFonts w:ascii="Arial" w:eastAsia="Calibri" w:hAnsi="Arial" w:cs="Arial"/>
          <w:b/>
          <w:sz w:val="14"/>
          <w:szCs w:val="14"/>
          <w:lang w:eastAsia="en-US"/>
        </w:rPr>
        <w:t>Amostra:</w:t>
      </w:r>
      <w:r w:rsidRPr="00211989">
        <w:rPr>
          <w:rFonts w:ascii="Arial" w:eastAsia="Calibri" w:hAnsi="Arial" w:cs="Arial"/>
          <w:sz w:val="14"/>
          <w:szCs w:val="14"/>
          <w:lang w:eastAsia="en-US"/>
        </w:rPr>
        <w:t xml:space="preserve"> 741 observações de 281 empresas listadas na B</w:t>
      </w:r>
      <w:r w:rsidRPr="00211989">
        <w:rPr>
          <w:rFonts w:ascii="Arial" w:eastAsia="Calibri" w:hAnsi="Arial" w:cs="Arial"/>
          <w:sz w:val="14"/>
          <w:szCs w:val="14"/>
          <w:vertAlign w:val="superscript"/>
          <w:lang w:eastAsia="en-US"/>
        </w:rPr>
        <w:t>3</w:t>
      </w:r>
      <w:r w:rsidRPr="00211989">
        <w:rPr>
          <w:rFonts w:ascii="Arial" w:eastAsia="Calibri" w:hAnsi="Arial" w:cs="Arial"/>
          <w:sz w:val="14"/>
          <w:szCs w:val="14"/>
          <w:lang w:eastAsia="en-US"/>
        </w:rPr>
        <w:t xml:space="preserve"> no período 2018 a 2020. </w:t>
      </w:r>
      <w:r w:rsidRPr="00211989">
        <w:rPr>
          <w:rFonts w:ascii="Arial" w:eastAsia="Calibri" w:hAnsi="Arial" w:cs="Arial"/>
          <w:b/>
          <w:sz w:val="14"/>
          <w:szCs w:val="14"/>
          <w:lang w:eastAsia="en-US"/>
        </w:rPr>
        <w:t xml:space="preserve">Variáveis dependentes (características da administração mensuradas por escores fatoriais): </w:t>
      </w:r>
      <w:r w:rsidRPr="00211989">
        <w:rPr>
          <w:rFonts w:ascii="Arial" w:eastAsia="Calibri" w:hAnsi="Arial" w:cs="Arial"/>
          <w:sz w:val="14"/>
          <w:szCs w:val="14"/>
          <w:lang w:eastAsia="en-US"/>
        </w:rPr>
        <w:t xml:space="preserve">Remuneração da diretoria executiva (REMDE); Independência dos administradores (INDEP); Avaliação dos administradores (AVAL); Separação entre órgãos da administração (SEPCADE); Remuneração do conselho de administração (REMCA). </w:t>
      </w:r>
      <w:r w:rsidRPr="00211989">
        <w:rPr>
          <w:rFonts w:ascii="Arial" w:eastAsia="Calibri" w:hAnsi="Arial" w:cs="Arial"/>
          <w:b/>
          <w:sz w:val="14"/>
          <w:szCs w:val="14"/>
          <w:lang w:eastAsia="en-US"/>
        </w:rPr>
        <w:t>Variáveis explicativas de interesse referentes ao tipo de controle acionário:</w:t>
      </w:r>
      <w:r w:rsidRPr="00211989">
        <w:rPr>
          <w:rFonts w:ascii="Arial" w:eastAsia="Calibri" w:hAnsi="Arial" w:cs="Arial"/>
          <w:sz w:val="14"/>
          <w:szCs w:val="14"/>
          <w:lang w:eastAsia="en-US"/>
        </w:rPr>
        <w:t xml:space="preserve"> Painel A – Disperso (DISP); Painel B – Compartilhado (COMP); Painel C – Familiar (FAM); Painel D – Empresarial (EMP); Painel E – Governamental (GOV). </w:t>
      </w:r>
      <w:r w:rsidRPr="00211989">
        <w:rPr>
          <w:rFonts w:ascii="Arial" w:eastAsia="Calibri" w:hAnsi="Arial" w:cs="Arial"/>
          <w:b/>
          <w:sz w:val="14"/>
          <w:szCs w:val="14"/>
          <w:lang w:eastAsia="en-US"/>
        </w:rPr>
        <w:t>Variáveis de controle:</w:t>
      </w:r>
      <w:r w:rsidRPr="00211989">
        <w:rPr>
          <w:rFonts w:ascii="Arial" w:eastAsia="Calibri" w:hAnsi="Arial" w:cs="Arial"/>
          <w:sz w:val="14"/>
          <w:szCs w:val="14"/>
          <w:lang w:eastAsia="en-US"/>
        </w:rPr>
        <w:t xml:space="preserve"> Tamanho no ano anterior (L. TAM); Retorno sobre patrimônio líquido no ano anterior (L.ROE); variáveis binárias indicativas do setor de atividade (SETOR) e do ano da observação (ANO), cujos coeficientes não foram reportados. </w:t>
      </w:r>
      <w:r w:rsidRPr="00211989">
        <w:rPr>
          <w:rFonts w:ascii="Arial" w:eastAsia="Calibri" w:hAnsi="Arial" w:cs="Arial"/>
          <w:b/>
          <w:bCs/>
          <w:sz w:val="14"/>
          <w:szCs w:val="14"/>
          <w:lang w:eastAsia="en-US"/>
        </w:rPr>
        <w:t>Fator de inflação da variância médio das variáveis explicativas (VIF):</w:t>
      </w:r>
      <w:r w:rsidRPr="00211989">
        <w:rPr>
          <w:rFonts w:ascii="Arial" w:eastAsia="Calibri" w:hAnsi="Arial" w:cs="Arial"/>
          <w:sz w:val="14"/>
          <w:szCs w:val="14"/>
          <w:lang w:eastAsia="en-US"/>
        </w:rPr>
        <w:t xml:space="preserve"> 1,16 (Painel A); 1,16 (Painel B); 1,17 (Painel C); 1,18 (Painel D); 1,17 (Painel E). </w:t>
      </w:r>
      <w:r w:rsidRPr="00211989">
        <w:rPr>
          <w:rFonts w:ascii="Arial" w:eastAsia="Calibri" w:hAnsi="Arial" w:cs="Arial"/>
          <w:b/>
          <w:sz w:val="14"/>
          <w:szCs w:val="14"/>
          <w:lang w:eastAsia="en-US"/>
        </w:rPr>
        <w:t xml:space="preserve">Significância estatística: </w:t>
      </w:r>
      <w:r w:rsidRPr="00211989">
        <w:rPr>
          <w:rFonts w:ascii="Arial" w:eastAsia="Calibri" w:hAnsi="Arial" w:cs="Arial"/>
          <w:sz w:val="14"/>
          <w:szCs w:val="14"/>
          <w:lang w:eastAsia="en-US"/>
        </w:rPr>
        <w:t>p-valor menor do que 10% (*), 5% (**) e 1% (***).</w:t>
      </w:r>
    </w:p>
    <w:p w14:paraId="1B05151D" w14:textId="77777777" w:rsidR="006B566E" w:rsidRPr="00FA63AF" w:rsidRDefault="006B566E" w:rsidP="00BD7A67">
      <w:pPr>
        <w:widowControl/>
        <w:spacing w:before="240" w:line="240" w:lineRule="auto"/>
        <w:ind w:firstLine="709"/>
        <w:rPr>
          <w:rFonts w:ascii="Arial" w:eastAsia="Calibri" w:hAnsi="Arial" w:cs="Arial"/>
          <w:spacing w:val="4"/>
          <w:sz w:val="18"/>
          <w:szCs w:val="18"/>
          <w:lang w:eastAsia="en-US"/>
        </w:rPr>
      </w:pPr>
      <w:r w:rsidRPr="00FA63AF">
        <w:rPr>
          <w:rFonts w:ascii="Arial" w:eastAsia="Calibri" w:hAnsi="Arial" w:cs="Arial"/>
          <w:spacing w:val="4"/>
          <w:sz w:val="18"/>
          <w:szCs w:val="18"/>
          <w:lang w:eastAsia="en-US"/>
        </w:rPr>
        <w:t xml:space="preserve">O controle disperso está relacionado com a diversificação da remuneração da diretoria executiva, a maior independência dos administradores e a separação entre os órgãos de administração. Crisóstomo e Brandão (2019) já haviam encontrado evidências de que nestas empresas a composição do conselho de administração está mais em consonância com as boas práticas de governança corporativa (Grupo de Trabalho Interagentes, 2016). A ausência de acionista controlador deve contribuir para que haja menor sobreposição entre propriedade, conselho de administração e diretoria executiva. Os conflitos de agência centram-se na relação entre gestores e acionistas, o que reforça a importância de um conselho de administração independente da diretoria executiva (Bebchuk &amp; Hamdani, 2009). A baixa concentração de direitos de voto, por sua vez, dificulta a nomeação de conselheiros e executivos ligados a </w:t>
      </w:r>
      <w:r w:rsidRPr="00FA63AF">
        <w:rPr>
          <w:rFonts w:ascii="Arial" w:eastAsia="Calibri" w:hAnsi="Arial" w:cs="Arial"/>
          <w:spacing w:val="4"/>
          <w:sz w:val="18"/>
          <w:szCs w:val="18"/>
          <w:lang w:eastAsia="en-US"/>
        </w:rPr>
        <w:lastRenderedPageBreak/>
        <w:t>acionistas, ocasionando baixa incidência de relações familiares e de subordinação. Ademais, por conta da dificuldade de acionistas dispersos em monitorar diretamente as ações dos gestores (Desender et al., 2013), a remuneração executiva pode ser utilizada como mecanismo de alinhamento de interesses (Hassen et al., 2015).</w:t>
      </w:r>
    </w:p>
    <w:p w14:paraId="2D07C8E3" w14:textId="77777777" w:rsidR="006B566E" w:rsidRPr="00FA63AF" w:rsidRDefault="006B566E" w:rsidP="00BD7A67">
      <w:pPr>
        <w:widowControl/>
        <w:spacing w:before="240" w:line="240" w:lineRule="auto"/>
        <w:ind w:firstLine="709"/>
        <w:rPr>
          <w:rFonts w:ascii="Arial" w:eastAsia="Calibri" w:hAnsi="Arial" w:cs="Arial"/>
          <w:spacing w:val="4"/>
          <w:sz w:val="18"/>
          <w:szCs w:val="18"/>
          <w:lang w:eastAsia="en-US"/>
        </w:rPr>
      </w:pPr>
      <w:r w:rsidRPr="00FA63AF">
        <w:rPr>
          <w:rFonts w:ascii="Arial" w:eastAsia="Calibri" w:hAnsi="Arial" w:cs="Arial"/>
          <w:spacing w:val="4"/>
          <w:sz w:val="18"/>
          <w:szCs w:val="18"/>
          <w:lang w:eastAsia="en-US"/>
        </w:rPr>
        <w:t>O controle compartilhado está relacionado à presença de mecanismos de avaliação dos administradores e à separação entre conselho de administração e diretoria executiva, mas também está relacionado à menor independência dos administradores. Estudos anteriores já haviam identificado a menor independência dos administradores nas empresas com controle compartilhado, em especial do conselho de administração (Dutra &amp; Saito, 2002; Gelman et al., 2015). A maior dispersão do controle acionário nas empresas com controle compartilhado em comparação a outros tipos de acionista controlador (Crisóstomo &amp; Brandão, 2019) faz com que acionistas participantes do bloco de controle busquem estratégias para reduzir o risco de ações oportunistas dos gestores (Carvalhal, 2012), o que ajuda a explicar a presença de mecanismos de avaliação dos administradores e a separação entre conselho de administração e diretoria executiva.</w:t>
      </w:r>
    </w:p>
    <w:p w14:paraId="1EB26DA8" w14:textId="77777777" w:rsidR="006B566E" w:rsidRPr="00BD7A67" w:rsidRDefault="006B566E" w:rsidP="00BD7A67">
      <w:pPr>
        <w:widowControl/>
        <w:spacing w:before="240" w:line="240" w:lineRule="auto"/>
        <w:ind w:firstLine="709"/>
        <w:rPr>
          <w:rFonts w:ascii="Arial" w:eastAsia="Calibri" w:hAnsi="Arial" w:cs="Arial"/>
          <w:sz w:val="18"/>
          <w:szCs w:val="18"/>
          <w:lang w:eastAsia="en-US"/>
        </w:rPr>
      </w:pPr>
      <w:r w:rsidRPr="00BD7A67">
        <w:rPr>
          <w:rFonts w:ascii="Arial" w:eastAsia="Calibri" w:hAnsi="Arial" w:cs="Arial"/>
          <w:sz w:val="18"/>
          <w:szCs w:val="18"/>
          <w:lang w:eastAsia="en-US"/>
        </w:rPr>
        <w:t>O controle familiar está relacionado à menor independência dos administradores, à ausência de mecanismos de avaliação dos administradores e à sobreposição entre conselho de administração e diretoria executiva. Uma das principais características destas empresas é sobreposição entre controle acionário e os órgãos de administração (Crisóstomo &amp; Brandão, 2019; Salvato &amp; Moraes, 2010), corroborando os achados da pesquisa. Esta sobreposição pode ajudar a explicar a menor incidência de mecanismos de avaliação dos administradores, sob o ponto de vista dos acionistas controladores: como os controladores estão diretamente envolvidos no processo de tomada de decisão da empresa, não seria necessário dispender recursos com mecanismos de incentivo gerencial (Aguilera et al., 2012).</w:t>
      </w:r>
    </w:p>
    <w:p w14:paraId="3E257A8E" w14:textId="77777777" w:rsidR="006B566E" w:rsidRPr="00911696" w:rsidRDefault="006B566E" w:rsidP="00BD7A67">
      <w:pPr>
        <w:widowControl/>
        <w:spacing w:before="240" w:line="240" w:lineRule="auto"/>
        <w:ind w:firstLine="709"/>
        <w:rPr>
          <w:rFonts w:ascii="Arial" w:eastAsia="Calibri" w:hAnsi="Arial" w:cs="Arial"/>
          <w:spacing w:val="-4"/>
          <w:sz w:val="18"/>
          <w:szCs w:val="18"/>
          <w:lang w:eastAsia="en-US"/>
        </w:rPr>
      </w:pPr>
      <w:r w:rsidRPr="00911696">
        <w:rPr>
          <w:rFonts w:ascii="Arial" w:eastAsia="Calibri" w:hAnsi="Arial" w:cs="Arial"/>
          <w:spacing w:val="-4"/>
          <w:sz w:val="18"/>
          <w:szCs w:val="18"/>
          <w:lang w:eastAsia="en-US"/>
        </w:rPr>
        <w:t>O controle empresarial está relacionado à diversificação da remuneração da diretoria executiva, à menor independência dos administradores e à sobreposição entre conselho de administração e diretoria executiva. De forma semelhante ao controle familiar, observa-se que há sobreposição entre propriedade, conselho de administração e diretoria executiva nas empresas participantes de grupos econômicos. Desender et al. (2013) já argumentavam que a empresa controladora tem incentivo e habilidades para monitorar a gestão da empresa controlada. Entretanto, diferentemente da empresa com controle familiar, observa-se que o sistema de incentivo é mais completo: a política de remuneração dos executivos inclui remuneração variável e de longo prazo, e os mecanismos de avaliação dos administradores, embora não tenha apresentado relação significante com o controle empresarial, é mais comum nestas empresas do que nas empresas com controle familiar.</w:t>
      </w:r>
    </w:p>
    <w:p w14:paraId="3EDB8017" w14:textId="77777777" w:rsidR="006B566E" w:rsidRPr="00E10BA2" w:rsidRDefault="006B566E" w:rsidP="00BD7A67">
      <w:pPr>
        <w:widowControl/>
        <w:spacing w:before="240" w:line="240" w:lineRule="auto"/>
        <w:ind w:firstLine="709"/>
        <w:rPr>
          <w:rFonts w:ascii="Arial" w:eastAsia="Calibri" w:hAnsi="Arial" w:cs="Arial"/>
          <w:spacing w:val="-4"/>
          <w:sz w:val="18"/>
          <w:szCs w:val="18"/>
          <w:lang w:eastAsia="en-US"/>
        </w:rPr>
      </w:pPr>
      <w:r w:rsidRPr="00E10BA2">
        <w:rPr>
          <w:rFonts w:ascii="Arial" w:eastAsia="Calibri" w:hAnsi="Arial" w:cs="Arial"/>
          <w:spacing w:val="-4"/>
          <w:sz w:val="18"/>
          <w:szCs w:val="18"/>
          <w:lang w:eastAsia="en-US"/>
        </w:rPr>
        <w:t>O controle governamental está relacionado à menor utilização de remuneração variável e de longo prazo para executivos, à maior independência dos administradores e à presença de mecanismos de avaliação dos administradores. Gelman et al. (2015) já haviam identificado que nestas empresas há menor utilização de participação nos lucros como forma de remuneração. Entretanto, havia o argumento de que empresas com controle governamental apresentam menor independência dos órgãos de administração, com indicações políticas e representantes dos empregados (Aguilera et al., 2012). Os resultados desta pesquisa, em especial quanto à independência e à presença de avaliação formal dos administradores em empresas com controle governamental, podem ser consequência da lei das sociedades de economia mista (Lei nº. 13.303/2016) que prevê critérios específicos para escolha e avaliação de administradores e instalação dos principais órgãos de fiscalização e controle das empresas com controle governamental.</w:t>
      </w:r>
    </w:p>
    <w:p w14:paraId="05CDB86B" w14:textId="77777777" w:rsidR="006B566E" w:rsidRPr="00BD7A67" w:rsidRDefault="00BD7A67" w:rsidP="00BD7A67">
      <w:pPr>
        <w:keepNext/>
        <w:keepLines/>
        <w:widowControl/>
        <w:spacing w:before="360" w:after="240" w:line="240" w:lineRule="auto"/>
        <w:outlineLvl w:val="0"/>
        <w:rPr>
          <w:rFonts w:ascii="Arial" w:hAnsi="Arial" w:cs="Arial"/>
          <w:b/>
          <w:sz w:val="20"/>
          <w:szCs w:val="20"/>
          <w:lang w:eastAsia="x-none"/>
        </w:rPr>
      </w:pPr>
      <w:r w:rsidRPr="00BD7A67">
        <w:rPr>
          <w:rFonts w:ascii="Arial" w:hAnsi="Arial" w:cs="Arial"/>
          <w:b/>
          <w:sz w:val="20"/>
          <w:szCs w:val="20"/>
          <w:lang w:eastAsia="x-none"/>
        </w:rPr>
        <w:t xml:space="preserve">4.4 </w:t>
      </w:r>
      <w:r w:rsidR="006B566E" w:rsidRPr="00BD7A67">
        <w:rPr>
          <w:rFonts w:ascii="Arial" w:hAnsi="Arial" w:cs="Arial"/>
          <w:b/>
          <w:sz w:val="20"/>
          <w:szCs w:val="20"/>
          <w:lang w:eastAsia="x-none"/>
        </w:rPr>
        <w:t>Características da administração e valor da empresa por tipo de controle acionário</w:t>
      </w:r>
    </w:p>
    <w:p w14:paraId="40288DFA" w14:textId="77777777" w:rsidR="006B566E" w:rsidRDefault="006B566E" w:rsidP="007352CD">
      <w:pPr>
        <w:widowControl/>
        <w:spacing w:before="240" w:after="240" w:line="240" w:lineRule="auto"/>
        <w:ind w:firstLine="709"/>
        <w:rPr>
          <w:rFonts w:ascii="Arial" w:eastAsia="Calibri" w:hAnsi="Arial" w:cs="Arial"/>
          <w:sz w:val="18"/>
          <w:szCs w:val="18"/>
          <w:lang w:eastAsia="x-none"/>
        </w:rPr>
      </w:pPr>
      <w:r w:rsidRPr="00BD7A67">
        <w:rPr>
          <w:rFonts w:ascii="Arial" w:eastAsia="Calibri" w:hAnsi="Arial" w:cs="Arial"/>
          <w:sz w:val="18"/>
          <w:szCs w:val="18"/>
          <w:lang w:eastAsia="x-none"/>
        </w:rPr>
        <w:t xml:space="preserve">A segunda hipótese de pesquisa trata da relação entre características da administração e valor da empresa, considerando o tipo de controle acionário da empresa. Para testar esta hipótese foram processadas estimações em que a variável dependente é o índice </w:t>
      </w:r>
      <w:r w:rsidRPr="00BD7A67">
        <w:rPr>
          <w:rFonts w:ascii="Arial" w:eastAsia="Calibri" w:hAnsi="Arial" w:cs="Arial"/>
          <w:i/>
          <w:sz w:val="18"/>
          <w:szCs w:val="18"/>
          <w:lang w:eastAsia="x-none"/>
        </w:rPr>
        <w:t>Market-to-book</w:t>
      </w:r>
      <w:r w:rsidRPr="00BD7A67">
        <w:rPr>
          <w:rFonts w:ascii="Arial" w:eastAsia="Calibri" w:hAnsi="Arial" w:cs="Arial"/>
          <w:sz w:val="18"/>
          <w:szCs w:val="18"/>
          <w:lang w:eastAsia="x-none"/>
        </w:rPr>
        <w:t xml:space="preserve">, proxy para valor da empresa, e as variáveis independentes de interesse são as características da administração, mensuradas por escores fatoriais (Tabela 9) e por escalas múltiplas (Tabela 10). As estimações foram processadas considerando a amostra total e cinco subamostras, determinadas pelo tipo de controle </w:t>
      </w:r>
      <w:r w:rsidRPr="00BD7A67">
        <w:rPr>
          <w:rFonts w:ascii="Arial" w:eastAsia="Calibri" w:hAnsi="Arial" w:cs="Arial"/>
          <w:sz w:val="18"/>
          <w:szCs w:val="18"/>
          <w:lang w:eastAsia="x-none"/>
        </w:rPr>
        <w:lastRenderedPageBreak/>
        <w:t xml:space="preserve">acionário da empresa. Para análise dos resultados só foram consideradas com significância práticas relações que apresentaram significância estatística para as duas </w:t>
      </w:r>
      <w:r w:rsidRPr="00BD7A67">
        <w:rPr>
          <w:rFonts w:ascii="Arial" w:eastAsia="Calibri" w:hAnsi="Arial" w:cs="Arial"/>
          <w:i/>
          <w:iCs/>
          <w:sz w:val="18"/>
          <w:szCs w:val="18"/>
          <w:lang w:eastAsia="x-none"/>
        </w:rPr>
        <w:t xml:space="preserve">proxies </w:t>
      </w:r>
      <w:r w:rsidRPr="00BD7A67">
        <w:rPr>
          <w:rFonts w:ascii="Arial" w:eastAsia="Calibri" w:hAnsi="Arial" w:cs="Arial"/>
          <w:sz w:val="18"/>
          <w:szCs w:val="18"/>
          <w:lang w:eastAsia="x-none"/>
        </w:rPr>
        <w:t xml:space="preserve">de características da administração (escores fatoriais e escalas múltiplas). </w:t>
      </w:r>
    </w:p>
    <w:p w14:paraId="6EDB96FE" w14:textId="77777777" w:rsidR="00BE21FF" w:rsidRPr="006B566E" w:rsidRDefault="00BE21FF" w:rsidP="003448C6">
      <w:pPr>
        <w:keepNext/>
        <w:keepLines/>
        <w:widowControl/>
        <w:spacing w:line="240" w:lineRule="auto"/>
        <w:jc w:val="left"/>
        <w:outlineLvl w:val="2"/>
        <w:rPr>
          <w:rFonts w:ascii="Arial" w:hAnsi="Arial" w:cs="Arial"/>
          <w:b/>
          <w:sz w:val="18"/>
          <w:szCs w:val="18"/>
          <w:lang w:eastAsia="en-US"/>
        </w:rPr>
      </w:pPr>
      <w:r w:rsidRPr="006B566E">
        <w:rPr>
          <w:rFonts w:ascii="Arial" w:hAnsi="Arial" w:cs="Arial"/>
          <w:b/>
          <w:sz w:val="18"/>
          <w:szCs w:val="18"/>
          <w:lang w:eastAsia="en-US"/>
        </w:rPr>
        <w:t>Tabela 9</w:t>
      </w:r>
    </w:p>
    <w:p w14:paraId="793C930B" w14:textId="77777777" w:rsidR="00BE21FF" w:rsidRDefault="00BE21FF" w:rsidP="003448C6">
      <w:pPr>
        <w:widowControl/>
        <w:spacing w:line="240" w:lineRule="auto"/>
        <w:rPr>
          <w:rFonts w:ascii="Arial" w:eastAsia="Calibri" w:hAnsi="Arial" w:cs="Arial"/>
          <w:sz w:val="18"/>
          <w:szCs w:val="18"/>
          <w:lang w:eastAsia="x-none"/>
        </w:rPr>
      </w:pPr>
      <w:r w:rsidRPr="006B566E">
        <w:rPr>
          <w:rFonts w:ascii="Arial" w:hAnsi="Arial" w:cs="Arial"/>
          <w:bCs/>
          <w:sz w:val="18"/>
          <w:szCs w:val="18"/>
          <w:lang w:eastAsia="en-US"/>
        </w:rPr>
        <w:t>Características da administração e valor da empresa por tipo de controle acionário (escores fatoriais)</w:t>
      </w:r>
      <w:r>
        <w:rPr>
          <w:rFonts w:ascii="Arial" w:hAnsi="Arial" w:cs="Arial"/>
          <w:bCs/>
          <w:sz w:val="18"/>
          <w:szCs w:val="18"/>
          <w:lang w:eastAsia="en-US"/>
        </w:rPr>
        <w:t>.</w:t>
      </w:r>
    </w:p>
    <w:tbl>
      <w:tblPr>
        <w:tblStyle w:val="Tabelacomgrade"/>
        <w:tblW w:w="82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01"/>
        <w:gridCol w:w="599"/>
        <w:gridCol w:w="785"/>
        <w:gridCol w:w="487"/>
        <w:gridCol w:w="743"/>
        <w:gridCol w:w="564"/>
        <w:gridCol w:w="677"/>
        <w:gridCol w:w="514"/>
        <w:gridCol w:w="645"/>
        <w:gridCol w:w="380"/>
        <w:gridCol w:w="718"/>
        <w:gridCol w:w="380"/>
      </w:tblGrid>
      <w:tr w:rsidR="00BE21FF" w:rsidRPr="001E4794" w14:paraId="736B5038" w14:textId="77777777" w:rsidTr="00D428F4">
        <w:trPr>
          <w:trHeight w:val="20"/>
          <w:jc w:val="center"/>
        </w:trPr>
        <w:tc>
          <w:tcPr>
            <w:tcW w:w="1129" w:type="dxa"/>
            <w:tcBorders>
              <w:top w:val="single" w:sz="4" w:space="0" w:color="auto"/>
              <w:bottom w:val="single" w:sz="4" w:space="0" w:color="auto"/>
            </w:tcBorders>
            <w:vAlign w:val="center"/>
          </w:tcPr>
          <w:p w14:paraId="23E2081B" w14:textId="77777777" w:rsidR="00BE21FF" w:rsidRPr="001E4794" w:rsidRDefault="00BE21FF" w:rsidP="005C33F1">
            <w:pPr>
              <w:spacing w:line="240" w:lineRule="auto"/>
              <w:ind w:firstLine="0"/>
              <w:jc w:val="center"/>
              <w:rPr>
                <w:rFonts w:ascii="Arial" w:hAnsi="Arial" w:cs="Arial"/>
                <w:b/>
                <w:sz w:val="14"/>
                <w:szCs w:val="14"/>
              </w:rPr>
            </w:pPr>
            <w:r w:rsidRPr="001E4794">
              <w:rPr>
                <w:rFonts w:ascii="Arial" w:hAnsi="Arial" w:cs="Arial"/>
                <w:b/>
                <w:sz w:val="14"/>
                <w:szCs w:val="14"/>
              </w:rPr>
              <w:t>Variáveis explicativas</w:t>
            </w:r>
          </w:p>
        </w:tc>
        <w:tc>
          <w:tcPr>
            <w:tcW w:w="7093" w:type="dxa"/>
            <w:gridSpan w:val="12"/>
            <w:tcBorders>
              <w:top w:val="single" w:sz="4" w:space="0" w:color="auto"/>
              <w:bottom w:val="single" w:sz="4" w:space="0" w:color="auto"/>
            </w:tcBorders>
            <w:vAlign w:val="center"/>
          </w:tcPr>
          <w:p w14:paraId="315DB812" w14:textId="77777777" w:rsidR="00BE21FF" w:rsidRPr="001E4794" w:rsidRDefault="00BE21FF" w:rsidP="005C33F1">
            <w:pPr>
              <w:spacing w:line="240" w:lineRule="auto"/>
              <w:ind w:firstLine="0"/>
              <w:jc w:val="center"/>
              <w:rPr>
                <w:rFonts w:ascii="Arial" w:hAnsi="Arial" w:cs="Arial"/>
                <w:b/>
                <w:sz w:val="14"/>
                <w:szCs w:val="14"/>
                <w:lang w:val="en-US"/>
              </w:rPr>
            </w:pPr>
            <w:r w:rsidRPr="001E4794">
              <w:rPr>
                <w:rFonts w:ascii="Arial" w:hAnsi="Arial" w:cs="Arial"/>
                <w:b/>
                <w:sz w:val="14"/>
                <w:szCs w:val="14"/>
                <w:lang w:val="en-US"/>
              </w:rPr>
              <w:t>Variável dependente: Market-to-book (MB)</w:t>
            </w:r>
          </w:p>
        </w:tc>
      </w:tr>
      <w:tr w:rsidR="00BE21FF" w:rsidRPr="001E4794" w14:paraId="6FDD48DF" w14:textId="77777777" w:rsidTr="00D428F4">
        <w:trPr>
          <w:trHeight w:val="20"/>
          <w:jc w:val="center"/>
        </w:trPr>
        <w:tc>
          <w:tcPr>
            <w:tcW w:w="1129" w:type="dxa"/>
            <w:tcBorders>
              <w:top w:val="single" w:sz="4" w:space="0" w:color="auto"/>
            </w:tcBorders>
            <w:vAlign w:val="center"/>
          </w:tcPr>
          <w:p w14:paraId="76F171B2" w14:textId="77777777" w:rsidR="00BE21FF" w:rsidRPr="001E4794" w:rsidRDefault="00BE21FF" w:rsidP="005C33F1">
            <w:pPr>
              <w:spacing w:line="240" w:lineRule="auto"/>
              <w:ind w:firstLine="0"/>
              <w:jc w:val="center"/>
              <w:rPr>
                <w:rFonts w:ascii="Arial" w:hAnsi="Arial" w:cs="Arial"/>
                <w:sz w:val="14"/>
                <w:szCs w:val="14"/>
                <w:lang w:val="en-US"/>
              </w:rPr>
            </w:pPr>
          </w:p>
        </w:tc>
        <w:tc>
          <w:tcPr>
            <w:tcW w:w="1200" w:type="dxa"/>
            <w:gridSpan w:val="2"/>
            <w:tcBorders>
              <w:top w:val="single" w:sz="4" w:space="0" w:color="auto"/>
            </w:tcBorders>
            <w:vAlign w:val="center"/>
          </w:tcPr>
          <w:p w14:paraId="27A3B586"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Amostra total</w:t>
            </w:r>
          </w:p>
        </w:tc>
        <w:tc>
          <w:tcPr>
            <w:tcW w:w="1272" w:type="dxa"/>
            <w:gridSpan w:val="2"/>
            <w:tcBorders>
              <w:top w:val="single" w:sz="4" w:space="0" w:color="auto"/>
            </w:tcBorders>
            <w:vAlign w:val="center"/>
          </w:tcPr>
          <w:p w14:paraId="4E7792E5"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DISP</w:t>
            </w:r>
          </w:p>
        </w:tc>
        <w:tc>
          <w:tcPr>
            <w:tcW w:w="1307" w:type="dxa"/>
            <w:gridSpan w:val="2"/>
            <w:tcBorders>
              <w:top w:val="single" w:sz="4" w:space="0" w:color="auto"/>
            </w:tcBorders>
            <w:vAlign w:val="center"/>
          </w:tcPr>
          <w:p w14:paraId="5C4B4464"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COMP</w:t>
            </w:r>
          </w:p>
        </w:tc>
        <w:tc>
          <w:tcPr>
            <w:tcW w:w="1191" w:type="dxa"/>
            <w:gridSpan w:val="2"/>
            <w:tcBorders>
              <w:top w:val="single" w:sz="4" w:space="0" w:color="auto"/>
            </w:tcBorders>
            <w:vAlign w:val="center"/>
          </w:tcPr>
          <w:p w14:paraId="4E8B8B11"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FAM</w:t>
            </w:r>
          </w:p>
        </w:tc>
        <w:tc>
          <w:tcPr>
            <w:tcW w:w="1025" w:type="dxa"/>
            <w:gridSpan w:val="2"/>
            <w:tcBorders>
              <w:top w:val="single" w:sz="4" w:space="0" w:color="auto"/>
            </w:tcBorders>
            <w:vAlign w:val="center"/>
          </w:tcPr>
          <w:p w14:paraId="5A62E3BD"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EMP</w:t>
            </w:r>
          </w:p>
        </w:tc>
        <w:tc>
          <w:tcPr>
            <w:tcW w:w="1098" w:type="dxa"/>
            <w:gridSpan w:val="2"/>
            <w:tcBorders>
              <w:top w:val="single" w:sz="4" w:space="0" w:color="auto"/>
            </w:tcBorders>
            <w:vAlign w:val="center"/>
          </w:tcPr>
          <w:p w14:paraId="1EC7BE53" w14:textId="77777777" w:rsidR="00BE21FF" w:rsidRPr="001E4794" w:rsidRDefault="00BE21FF" w:rsidP="005C33F1">
            <w:pPr>
              <w:spacing w:line="240" w:lineRule="auto"/>
              <w:ind w:firstLine="0"/>
              <w:jc w:val="center"/>
              <w:rPr>
                <w:rFonts w:ascii="Arial" w:hAnsi="Arial" w:cs="Arial"/>
                <w:sz w:val="14"/>
                <w:szCs w:val="14"/>
              </w:rPr>
            </w:pPr>
            <w:r w:rsidRPr="001E4794">
              <w:rPr>
                <w:rFonts w:ascii="Arial" w:hAnsi="Arial" w:cs="Arial"/>
                <w:sz w:val="14"/>
                <w:szCs w:val="14"/>
              </w:rPr>
              <w:t>GOV</w:t>
            </w:r>
          </w:p>
        </w:tc>
      </w:tr>
      <w:tr w:rsidR="00AA220A" w:rsidRPr="001E4794" w14:paraId="200863A3" w14:textId="77777777" w:rsidTr="00D428F4">
        <w:trPr>
          <w:trHeight w:val="20"/>
          <w:jc w:val="center"/>
        </w:trPr>
        <w:tc>
          <w:tcPr>
            <w:tcW w:w="1129" w:type="dxa"/>
            <w:vAlign w:val="center"/>
          </w:tcPr>
          <w:p w14:paraId="1741813C"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REMDE</w:t>
            </w:r>
          </w:p>
        </w:tc>
        <w:tc>
          <w:tcPr>
            <w:tcW w:w="601" w:type="dxa"/>
            <w:vAlign w:val="center"/>
          </w:tcPr>
          <w:p w14:paraId="470795C4"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1,405</w:t>
            </w:r>
          </w:p>
        </w:tc>
        <w:tc>
          <w:tcPr>
            <w:tcW w:w="599" w:type="dxa"/>
            <w:vAlign w:val="center"/>
          </w:tcPr>
          <w:p w14:paraId="0909582C"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vAlign w:val="center"/>
          </w:tcPr>
          <w:p w14:paraId="46884CE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-1,230</w:t>
            </w:r>
          </w:p>
        </w:tc>
        <w:tc>
          <w:tcPr>
            <w:tcW w:w="487" w:type="dxa"/>
            <w:vAlign w:val="center"/>
          </w:tcPr>
          <w:p w14:paraId="75FB073E"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vAlign w:val="center"/>
          </w:tcPr>
          <w:p w14:paraId="3A51C0BF"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3,287</w:t>
            </w:r>
          </w:p>
        </w:tc>
        <w:tc>
          <w:tcPr>
            <w:tcW w:w="564" w:type="dxa"/>
            <w:vAlign w:val="center"/>
          </w:tcPr>
          <w:p w14:paraId="6D5C3687"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vAlign w:val="center"/>
          </w:tcPr>
          <w:p w14:paraId="05A4BC6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1,241</w:t>
            </w:r>
          </w:p>
        </w:tc>
        <w:tc>
          <w:tcPr>
            <w:tcW w:w="514" w:type="dxa"/>
            <w:vAlign w:val="center"/>
          </w:tcPr>
          <w:p w14:paraId="1BDC6980"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vAlign w:val="center"/>
          </w:tcPr>
          <w:p w14:paraId="71C8222C"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0,285</w:t>
            </w:r>
          </w:p>
        </w:tc>
        <w:tc>
          <w:tcPr>
            <w:tcW w:w="380" w:type="dxa"/>
            <w:vAlign w:val="center"/>
          </w:tcPr>
          <w:p w14:paraId="25D3E78C"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vAlign w:val="center"/>
          </w:tcPr>
          <w:p w14:paraId="4D66BF8C"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3,476</w:t>
            </w:r>
          </w:p>
        </w:tc>
        <w:tc>
          <w:tcPr>
            <w:tcW w:w="380" w:type="dxa"/>
            <w:vAlign w:val="center"/>
          </w:tcPr>
          <w:p w14:paraId="79CF47F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r>
      <w:tr w:rsidR="00BE21FF" w:rsidRPr="001E4794" w14:paraId="66C2BEDE" w14:textId="77777777" w:rsidTr="00D428F4">
        <w:trPr>
          <w:trHeight w:val="20"/>
          <w:jc w:val="center"/>
        </w:trPr>
        <w:tc>
          <w:tcPr>
            <w:tcW w:w="1129" w:type="dxa"/>
            <w:vAlign w:val="center"/>
          </w:tcPr>
          <w:p w14:paraId="7CE331C3" w14:textId="77777777" w:rsidR="00BE21FF" w:rsidRPr="001E4794" w:rsidRDefault="00BE21FF" w:rsidP="00D428F4">
            <w:pPr>
              <w:spacing w:line="240" w:lineRule="auto"/>
              <w:ind w:left="-57" w:right="-57" w:firstLine="0"/>
              <w:jc w:val="center"/>
              <w:rPr>
                <w:rFonts w:ascii="Arial" w:hAnsi="Arial" w:cs="Arial"/>
                <w:sz w:val="14"/>
                <w:szCs w:val="14"/>
              </w:rPr>
            </w:pPr>
          </w:p>
        </w:tc>
        <w:tc>
          <w:tcPr>
            <w:tcW w:w="1200" w:type="dxa"/>
            <w:gridSpan w:val="2"/>
            <w:vAlign w:val="center"/>
          </w:tcPr>
          <w:p w14:paraId="32F905F8"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(0,472)</w:t>
            </w:r>
          </w:p>
        </w:tc>
        <w:tc>
          <w:tcPr>
            <w:tcW w:w="1272" w:type="dxa"/>
            <w:gridSpan w:val="2"/>
            <w:vAlign w:val="center"/>
          </w:tcPr>
          <w:p w14:paraId="1666C5F3"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(1,168)</w:t>
            </w:r>
          </w:p>
        </w:tc>
        <w:tc>
          <w:tcPr>
            <w:tcW w:w="1307" w:type="dxa"/>
            <w:gridSpan w:val="2"/>
            <w:vAlign w:val="center"/>
          </w:tcPr>
          <w:p w14:paraId="7FC4C05C"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(1,108)</w:t>
            </w:r>
          </w:p>
        </w:tc>
        <w:tc>
          <w:tcPr>
            <w:tcW w:w="1191" w:type="dxa"/>
            <w:gridSpan w:val="2"/>
            <w:vAlign w:val="center"/>
          </w:tcPr>
          <w:p w14:paraId="3A147565"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(0,727)</w:t>
            </w:r>
          </w:p>
        </w:tc>
        <w:tc>
          <w:tcPr>
            <w:tcW w:w="1025" w:type="dxa"/>
            <w:gridSpan w:val="2"/>
            <w:vAlign w:val="center"/>
          </w:tcPr>
          <w:p w14:paraId="3DE873CA"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(1,125</w:t>
            </w:r>
            <w:r w:rsidRPr="001E4794">
              <w:rPr>
                <w:rFonts w:ascii="Arial" w:eastAsia="Calibri" w:hAnsi="Arial" w:cs="Arial"/>
                <w:color w:val="000000"/>
                <w:sz w:val="14"/>
                <w:szCs w:val="14"/>
              </w:rPr>
              <w:t>)</w:t>
            </w:r>
          </w:p>
        </w:tc>
        <w:tc>
          <w:tcPr>
            <w:tcW w:w="1098" w:type="dxa"/>
            <w:gridSpan w:val="2"/>
            <w:vAlign w:val="center"/>
          </w:tcPr>
          <w:p w14:paraId="19AEECE5"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(1,752)</w:t>
            </w:r>
          </w:p>
        </w:tc>
      </w:tr>
      <w:tr w:rsidR="00BE21FF" w:rsidRPr="001E4794" w14:paraId="35D9B260" w14:textId="77777777" w:rsidTr="00D428F4">
        <w:trPr>
          <w:trHeight w:val="20"/>
          <w:jc w:val="center"/>
        </w:trPr>
        <w:tc>
          <w:tcPr>
            <w:tcW w:w="1129" w:type="dxa"/>
            <w:noWrap/>
            <w:vAlign w:val="center"/>
            <w:hideMark/>
          </w:tcPr>
          <w:p w14:paraId="582134E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INDEP</w:t>
            </w:r>
          </w:p>
        </w:tc>
        <w:tc>
          <w:tcPr>
            <w:tcW w:w="601" w:type="dxa"/>
            <w:noWrap/>
            <w:vAlign w:val="center"/>
            <w:hideMark/>
          </w:tcPr>
          <w:p w14:paraId="0CF724C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-0,153</w:t>
            </w:r>
          </w:p>
        </w:tc>
        <w:tc>
          <w:tcPr>
            <w:tcW w:w="599" w:type="dxa"/>
            <w:noWrap/>
            <w:vAlign w:val="center"/>
            <w:hideMark/>
          </w:tcPr>
          <w:p w14:paraId="004A121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85" w:type="dxa"/>
            <w:noWrap/>
            <w:vAlign w:val="center"/>
            <w:hideMark/>
          </w:tcPr>
          <w:p w14:paraId="34A4367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-2,765</w:t>
            </w:r>
          </w:p>
        </w:tc>
        <w:tc>
          <w:tcPr>
            <w:tcW w:w="487" w:type="dxa"/>
            <w:noWrap/>
            <w:vAlign w:val="center"/>
            <w:hideMark/>
          </w:tcPr>
          <w:p w14:paraId="1AC9A190"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43" w:type="dxa"/>
            <w:noWrap/>
            <w:vAlign w:val="center"/>
            <w:hideMark/>
          </w:tcPr>
          <w:p w14:paraId="4447D3A0"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3,118</w:t>
            </w:r>
          </w:p>
        </w:tc>
        <w:tc>
          <w:tcPr>
            <w:tcW w:w="564" w:type="dxa"/>
            <w:noWrap/>
            <w:vAlign w:val="center"/>
            <w:hideMark/>
          </w:tcPr>
          <w:p w14:paraId="128E717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noWrap/>
            <w:vAlign w:val="center"/>
            <w:hideMark/>
          </w:tcPr>
          <w:p w14:paraId="7DA317D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2,182</w:t>
            </w:r>
          </w:p>
        </w:tc>
        <w:tc>
          <w:tcPr>
            <w:tcW w:w="514" w:type="dxa"/>
            <w:noWrap/>
            <w:vAlign w:val="center"/>
            <w:hideMark/>
          </w:tcPr>
          <w:p w14:paraId="74D5EBB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noWrap/>
            <w:vAlign w:val="center"/>
            <w:hideMark/>
          </w:tcPr>
          <w:p w14:paraId="4DBFD0D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-1,301</w:t>
            </w:r>
          </w:p>
        </w:tc>
        <w:tc>
          <w:tcPr>
            <w:tcW w:w="380" w:type="dxa"/>
            <w:noWrap/>
            <w:vAlign w:val="center"/>
            <w:hideMark/>
          </w:tcPr>
          <w:p w14:paraId="52BAFB4E"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noWrap/>
            <w:vAlign w:val="center"/>
            <w:hideMark/>
          </w:tcPr>
          <w:p w14:paraId="6A47B234"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0,205</w:t>
            </w:r>
          </w:p>
        </w:tc>
        <w:tc>
          <w:tcPr>
            <w:tcW w:w="380" w:type="dxa"/>
            <w:noWrap/>
            <w:vAlign w:val="center"/>
            <w:hideMark/>
          </w:tcPr>
          <w:p w14:paraId="5B8C710C"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r>
      <w:tr w:rsidR="00BE21FF" w:rsidRPr="001E4794" w14:paraId="79B12588" w14:textId="77777777" w:rsidTr="00D428F4">
        <w:trPr>
          <w:trHeight w:val="20"/>
          <w:jc w:val="center"/>
        </w:trPr>
        <w:tc>
          <w:tcPr>
            <w:tcW w:w="1129" w:type="dxa"/>
            <w:vAlign w:val="center"/>
          </w:tcPr>
          <w:p w14:paraId="7B9CDE9E" w14:textId="77777777" w:rsidR="00BE21FF" w:rsidRPr="001E4794" w:rsidRDefault="00BE21FF" w:rsidP="00D428F4">
            <w:pPr>
              <w:spacing w:line="240" w:lineRule="auto"/>
              <w:ind w:left="-57" w:right="-57" w:firstLine="0"/>
              <w:jc w:val="center"/>
              <w:rPr>
                <w:rFonts w:ascii="Arial" w:hAnsi="Arial" w:cs="Arial"/>
                <w:sz w:val="14"/>
                <w:szCs w:val="14"/>
              </w:rPr>
            </w:pPr>
          </w:p>
        </w:tc>
        <w:tc>
          <w:tcPr>
            <w:tcW w:w="1200" w:type="dxa"/>
            <w:gridSpan w:val="2"/>
            <w:vAlign w:val="center"/>
          </w:tcPr>
          <w:p w14:paraId="4C155A1E"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(0,417)</w:t>
            </w:r>
          </w:p>
        </w:tc>
        <w:tc>
          <w:tcPr>
            <w:tcW w:w="1272" w:type="dxa"/>
            <w:gridSpan w:val="2"/>
            <w:vAlign w:val="center"/>
          </w:tcPr>
          <w:p w14:paraId="6A2F2183"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(1,472)</w:t>
            </w:r>
          </w:p>
        </w:tc>
        <w:tc>
          <w:tcPr>
            <w:tcW w:w="1307" w:type="dxa"/>
            <w:gridSpan w:val="2"/>
            <w:vAlign w:val="center"/>
          </w:tcPr>
          <w:p w14:paraId="2D259F05"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(1,579)</w:t>
            </w:r>
          </w:p>
        </w:tc>
        <w:tc>
          <w:tcPr>
            <w:tcW w:w="1191" w:type="dxa"/>
            <w:gridSpan w:val="2"/>
            <w:vAlign w:val="center"/>
          </w:tcPr>
          <w:p w14:paraId="17524308"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(0,889)</w:t>
            </w:r>
          </w:p>
        </w:tc>
        <w:tc>
          <w:tcPr>
            <w:tcW w:w="1025" w:type="dxa"/>
            <w:gridSpan w:val="2"/>
            <w:vAlign w:val="center"/>
          </w:tcPr>
          <w:p w14:paraId="49E256EF"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(1,709)</w:t>
            </w:r>
          </w:p>
        </w:tc>
        <w:tc>
          <w:tcPr>
            <w:tcW w:w="1098" w:type="dxa"/>
            <w:gridSpan w:val="2"/>
            <w:vAlign w:val="center"/>
          </w:tcPr>
          <w:p w14:paraId="0B2DDE2D"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(2,767)</w:t>
            </w:r>
          </w:p>
        </w:tc>
      </w:tr>
      <w:tr w:rsidR="00AA220A" w:rsidRPr="001E4794" w14:paraId="5F9C66A9" w14:textId="77777777" w:rsidTr="00D428F4">
        <w:trPr>
          <w:trHeight w:val="20"/>
          <w:jc w:val="center"/>
        </w:trPr>
        <w:tc>
          <w:tcPr>
            <w:tcW w:w="1129" w:type="dxa"/>
            <w:vAlign w:val="center"/>
          </w:tcPr>
          <w:p w14:paraId="1BF9D3A9"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AVAL</w:t>
            </w:r>
          </w:p>
        </w:tc>
        <w:tc>
          <w:tcPr>
            <w:tcW w:w="601" w:type="dxa"/>
            <w:vAlign w:val="center"/>
          </w:tcPr>
          <w:p w14:paraId="5A39BA9B"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1,498</w:t>
            </w:r>
          </w:p>
        </w:tc>
        <w:tc>
          <w:tcPr>
            <w:tcW w:w="599" w:type="dxa"/>
            <w:vAlign w:val="center"/>
          </w:tcPr>
          <w:p w14:paraId="73B8BFB2"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vAlign w:val="center"/>
          </w:tcPr>
          <w:p w14:paraId="119F056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2,194</w:t>
            </w:r>
          </w:p>
        </w:tc>
        <w:tc>
          <w:tcPr>
            <w:tcW w:w="487" w:type="dxa"/>
            <w:vAlign w:val="center"/>
          </w:tcPr>
          <w:p w14:paraId="1C9E1B8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43" w:type="dxa"/>
            <w:vAlign w:val="center"/>
          </w:tcPr>
          <w:p w14:paraId="7891DF5A"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1,431</w:t>
            </w:r>
          </w:p>
        </w:tc>
        <w:tc>
          <w:tcPr>
            <w:tcW w:w="564" w:type="dxa"/>
            <w:vAlign w:val="center"/>
          </w:tcPr>
          <w:p w14:paraId="0F32887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vAlign w:val="center"/>
          </w:tcPr>
          <w:p w14:paraId="20A91D8F"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1,114</w:t>
            </w:r>
          </w:p>
        </w:tc>
        <w:tc>
          <w:tcPr>
            <w:tcW w:w="514" w:type="dxa"/>
            <w:vAlign w:val="center"/>
          </w:tcPr>
          <w:p w14:paraId="12DFCDDE"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vAlign w:val="center"/>
          </w:tcPr>
          <w:p w14:paraId="2EE98C1A"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0,023</w:t>
            </w:r>
          </w:p>
        </w:tc>
        <w:tc>
          <w:tcPr>
            <w:tcW w:w="380" w:type="dxa"/>
            <w:vAlign w:val="center"/>
          </w:tcPr>
          <w:p w14:paraId="50B07BBD"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vAlign w:val="center"/>
          </w:tcPr>
          <w:p w14:paraId="1D87E7A4"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1,384</w:t>
            </w:r>
          </w:p>
        </w:tc>
        <w:tc>
          <w:tcPr>
            <w:tcW w:w="380" w:type="dxa"/>
            <w:vAlign w:val="center"/>
          </w:tcPr>
          <w:p w14:paraId="01CE3A3A" w14:textId="77777777" w:rsidR="00BE21FF" w:rsidRPr="001E4794" w:rsidRDefault="00BE21FF" w:rsidP="00D428F4">
            <w:pPr>
              <w:spacing w:line="240" w:lineRule="auto"/>
              <w:ind w:left="-57" w:right="-57" w:firstLine="0"/>
              <w:jc w:val="left"/>
              <w:rPr>
                <w:rFonts w:ascii="Arial" w:hAnsi="Arial" w:cs="Arial"/>
                <w:sz w:val="14"/>
                <w:szCs w:val="14"/>
              </w:rPr>
            </w:pPr>
          </w:p>
        </w:tc>
      </w:tr>
      <w:tr w:rsidR="00BE21FF" w:rsidRPr="001E4794" w14:paraId="31B03528" w14:textId="77777777" w:rsidTr="00D428F4">
        <w:trPr>
          <w:trHeight w:val="20"/>
          <w:jc w:val="center"/>
        </w:trPr>
        <w:tc>
          <w:tcPr>
            <w:tcW w:w="1129" w:type="dxa"/>
            <w:vAlign w:val="center"/>
          </w:tcPr>
          <w:p w14:paraId="0E1B45F4" w14:textId="77777777" w:rsidR="00BE21FF" w:rsidRPr="001E4794" w:rsidRDefault="00BE21FF" w:rsidP="00D428F4">
            <w:pPr>
              <w:spacing w:line="240" w:lineRule="auto"/>
              <w:ind w:left="-57" w:right="-57" w:firstLine="0"/>
              <w:jc w:val="center"/>
              <w:rPr>
                <w:rFonts w:ascii="Arial" w:hAnsi="Arial" w:cs="Arial"/>
                <w:sz w:val="14"/>
                <w:szCs w:val="14"/>
              </w:rPr>
            </w:pPr>
          </w:p>
        </w:tc>
        <w:tc>
          <w:tcPr>
            <w:tcW w:w="1200" w:type="dxa"/>
            <w:gridSpan w:val="2"/>
            <w:vAlign w:val="center"/>
          </w:tcPr>
          <w:p w14:paraId="475762FA"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(0,364)</w:t>
            </w:r>
          </w:p>
        </w:tc>
        <w:tc>
          <w:tcPr>
            <w:tcW w:w="1272" w:type="dxa"/>
            <w:gridSpan w:val="2"/>
            <w:vAlign w:val="center"/>
          </w:tcPr>
          <w:p w14:paraId="7E7CF9A4"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(0,821)</w:t>
            </w:r>
          </w:p>
        </w:tc>
        <w:tc>
          <w:tcPr>
            <w:tcW w:w="1307" w:type="dxa"/>
            <w:gridSpan w:val="2"/>
            <w:vAlign w:val="center"/>
          </w:tcPr>
          <w:p w14:paraId="1B820D34"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(0,829)</w:t>
            </w:r>
          </w:p>
        </w:tc>
        <w:tc>
          <w:tcPr>
            <w:tcW w:w="1191" w:type="dxa"/>
            <w:gridSpan w:val="2"/>
            <w:vAlign w:val="center"/>
          </w:tcPr>
          <w:p w14:paraId="67414AD8"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(0,946)</w:t>
            </w:r>
          </w:p>
        </w:tc>
        <w:tc>
          <w:tcPr>
            <w:tcW w:w="1025" w:type="dxa"/>
            <w:gridSpan w:val="2"/>
            <w:vAlign w:val="center"/>
          </w:tcPr>
          <w:p w14:paraId="4EE14132"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(0,600)</w:t>
            </w:r>
          </w:p>
        </w:tc>
        <w:tc>
          <w:tcPr>
            <w:tcW w:w="1098" w:type="dxa"/>
            <w:gridSpan w:val="2"/>
            <w:vAlign w:val="center"/>
          </w:tcPr>
          <w:p w14:paraId="328EF741"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(1,078)</w:t>
            </w:r>
          </w:p>
        </w:tc>
      </w:tr>
      <w:tr w:rsidR="00AA220A" w:rsidRPr="001E4794" w14:paraId="36E514EA" w14:textId="77777777" w:rsidTr="00D428F4">
        <w:trPr>
          <w:trHeight w:val="20"/>
          <w:jc w:val="center"/>
        </w:trPr>
        <w:tc>
          <w:tcPr>
            <w:tcW w:w="1129" w:type="dxa"/>
            <w:vAlign w:val="center"/>
          </w:tcPr>
          <w:p w14:paraId="4FF4106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SEPCADE</w:t>
            </w:r>
          </w:p>
        </w:tc>
        <w:tc>
          <w:tcPr>
            <w:tcW w:w="601" w:type="dxa"/>
            <w:vAlign w:val="center"/>
          </w:tcPr>
          <w:p w14:paraId="612532B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1,538</w:t>
            </w:r>
          </w:p>
        </w:tc>
        <w:tc>
          <w:tcPr>
            <w:tcW w:w="599" w:type="dxa"/>
            <w:vAlign w:val="center"/>
          </w:tcPr>
          <w:p w14:paraId="6B16F89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vAlign w:val="center"/>
          </w:tcPr>
          <w:p w14:paraId="6B4B5A1F"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-2,376</w:t>
            </w:r>
          </w:p>
        </w:tc>
        <w:tc>
          <w:tcPr>
            <w:tcW w:w="487" w:type="dxa"/>
            <w:vAlign w:val="center"/>
          </w:tcPr>
          <w:p w14:paraId="44CD49FA"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vAlign w:val="center"/>
          </w:tcPr>
          <w:p w14:paraId="129BD94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3,991</w:t>
            </w:r>
          </w:p>
        </w:tc>
        <w:tc>
          <w:tcPr>
            <w:tcW w:w="564" w:type="dxa"/>
            <w:vAlign w:val="center"/>
          </w:tcPr>
          <w:p w14:paraId="7FEA7FDB"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vAlign w:val="center"/>
          </w:tcPr>
          <w:p w14:paraId="6237EE5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2,353</w:t>
            </w:r>
          </w:p>
        </w:tc>
        <w:tc>
          <w:tcPr>
            <w:tcW w:w="514" w:type="dxa"/>
            <w:vAlign w:val="center"/>
          </w:tcPr>
          <w:p w14:paraId="16BE79B6"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vAlign w:val="center"/>
          </w:tcPr>
          <w:p w14:paraId="244FFE4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1,041</w:t>
            </w:r>
          </w:p>
        </w:tc>
        <w:tc>
          <w:tcPr>
            <w:tcW w:w="380" w:type="dxa"/>
            <w:vAlign w:val="center"/>
          </w:tcPr>
          <w:p w14:paraId="2BD9D3DD"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vAlign w:val="center"/>
          </w:tcPr>
          <w:p w14:paraId="5EA18D5D"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3,863</w:t>
            </w:r>
          </w:p>
        </w:tc>
        <w:tc>
          <w:tcPr>
            <w:tcW w:w="380" w:type="dxa"/>
            <w:vAlign w:val="center"/>
          </w:tcPr>
          <w:p w14:paraId="76B91EF2" w14:textId="77777777" w:rsidR="00BE21FF" w:rsidRPr="001E4794" w:rsidRDefault="00BE21FF" w:rsidP="00D428F4">
            <w:pPr>
              <w:spacing w:line="240" w:lineRule="auto"/>
              <w:ind w:left="-57" w:right="-57" w:firstLine="0"/>
              <w:jc w:val="left"/>
              <w:rPr>
                <w:rFonts w:ascii="Arial" w:hAnsi="Arial" w:cs="Arial"/>
                <w:sz w:val="14"/>
                <w:szCs w:val="14"/>
              </w:rPr>
            </w:pPr>
          </w:p>
        </w:tc>
      </w:tr>
      <w:tr w:rsidR="00BE21FF" w:rsidRPr="001E4794" w14:paraId="15B5F28D" w14:textId="77777777" w:rsidTr="00D428F4">
        <w:trPr>
          <w:trHeight w:val="20"/>
          <w:jc w:val="center"/>
        </w:trPr>
        <w:tc>
          <w:tcPr>
            <w:tcW w:w="1129" w:type="dxa"/>
            <w:vAlign w:val="center"/>
          </w:tcPr>
          <w:p w14:paraId="0D60172C" w14:textId="77777777" w:rsidR="00BE21FF" w:rsidRPr="001E4794" w:rsidRDefault="00BE21FF" w:rsidP="00D428F4">
            <w:pPr>
              <w:spacing w:line="240" w:lineRule="auto"/>
              <w:ind w:left="-57" w:right="-57" w:firstLine="0"/>
              <w:jc w:val="center"/>
              <w:rPr>
                <w:rFonts w:ascii="Arial" w:hAnsi="Arial" w:cs="Arial"/>
                <w:sz w:val="14"/>
                <w:szCs w:val="14"/>
              </w:rPr>
            </w:pPr>
          </w:p>
        </w:tc>
        <w:tc>
          <w:tcPr>
            <w:tcW w:w="1200" w:type="dxa"/>
            <w:gridSpan w:val="2"/>
            <w:vAlign w:val="center"/>
          </w:tcPr>
          <w:p w14:paraId="3A65B55F"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(0,598)</w:t>
            </w:r>
          </w:p>
        </w:tc>
        <w:tc>
          <w:tcPr>
            <w:tcW w:w="1272" w:type="dxa"/>
            <w:gridSpan w:val="2"/>
            <w:vAlign w:val="center"/>
          </w:tcPr>
          <w:p w14:paraId="6AEBD4CD"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(2,316)</w:t>
            </w:r>
          </w:p>
        </w:tc>
        <w:tc>
          <w:tcPr>
            <w:tcW w:w="1307" w:type="dxa"/>
            <w:gridSpan w:val="2"/>
            <w:vAlign w:val="center"/>
          </w:tcPr>
          <w:p w14:paraId="744FADC3"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(1,873)</w:t>
            </w:r>
          </w:p>
        </w:tc>
        <w:tc>
          <w:tcPr>
            <w:tcW w:w="1191" w:type="dxa"/>
            <w:gridSpan w:val="2"/>
            <w:vAlign w:val="center"/>
          </w:tcPr>
          <w:p w14:paraId="2FCA0442"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(0,736)</w:t>
            </w:r>
          </w:p>
        </w:tc>
        <w:tc>
          <w:tcPr>
            <w:tcW w:w="1025" w:type="dxa"/>
            <w:gridSpan w:val="2"/>
            <w:vAlign w:val="center"/>
          </w:tcPr>
          <w:p w14:paraId="74121989"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(1,309)</w:t>
            </w:r>
          </w:p>
        </w:tc>
        <w:tc>
          <w:tcPr>
            <w:tcW w:w="1098" w:type="dxa"/>
            <w:gridSpan w:val="2"/>
            <w:vAlign w:val="center"/>
          </w:tcPr>
          <w:p w14:paraId="756A9A7F"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(6,708)</w:t>
            </w:r>
          </w:p>
        </w:tc>
      </w:tr>
      <w:tr w:rsidR="00AA220A" w:rsidRPr="001E4794" w14:paraId="39B2ADDF" w14:textId="77777777" w:rsidTr="00D428F4">
        <w:trPr>
          <w:trHeight w:val="20"/>
          <w:jc w:val="center"/>
        </w:trPr>
        <w:tc>
          <w:tcPr>
            <w:tcW w:w="1129" w:type="dxa"/>
            <w:vAlign w:val="center"/>
          </w:tcPr>
          <w:p w14:paraId="0026BACE"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REMCA</w:t>
            </w:r>
          </w:p>
        </w:tc>
        <w:tc>
          <w:tcPr>
            <w:tcW w:w="601" w:type="dxa"/>
            <w:vAlign w:val="center"/>
          </w:tcPr>
          <w:p w14:paraId="68D9316C"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-0,042</w:t>
            </w:r>
          </w:p>
        </w:tc>
        <w:tc>
          <w:tcPr>
            <w:tcW w:w="599" w:type="dxa"/>
            <w:vAlign w:val="center"/>
          </w:tcPr>
          <w:p w14:paraId="6F49EC1A"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85" w:type="dxa"/>
            <w:vAlign w:val="center"/>
          </w:tcPr>
          <w:p w14:paraId="01F390F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1,133</w:t>
            </w:r>
          </w:p>
        </w:tc>
        <w:tc>
          <w:tcPr>
            <w:tcW w:w="487" w:type="dxa"/>
            <w:vAlign w:val="center"/>
          </w:tcPr>
          <w:p w14:paraId="780C2BD0"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vAlign w:val="center"/>
          </w:tcPr>
          <w:p w14:paraId="05F9C899"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-2,091</w:t>
            </w:r>
          </w:p>
        </w:tc>
        <w:tc>
          <w:tcPr>
            <w:tcW w:w="564" w:type="dxa"/>
            <w:vAlign w:val="center"/>
          </w:tcPr>
          <w:p w14:paraId="5A914DB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vAlign w:val="center"/>
          </w:tcPr>
          <w:p w14:paraId="135ECE1B"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0,388</w:t>
            </w:r>
          </w:p>
        </w:tc>
        <w:tc>
          <w:tcPr>
            <w:tcW w:w="514" w:type="dxa"/>
            <w:vAlign w:val="center"/>
          </w:tcPr>
          <w:p w14:paraId="3715A1E0"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45" w:type="dxa"/>
            <w:vAlign w:val="center"/>
          </w:tcPr>
          <w:p w14:paraId="53EFCD7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1,952</w:t>
            </w:r>
          </w:p>
        </w:tc>
        <w:tc>
          <w:tcPr>
            <w:tcW w:w="380" w:type="dxa"/>
            <w:vAlign w:val="center"/>
          </w:tcPr>
          <w:p w14:paraId="31AA25D3"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18" w:type="dxa"/>
            <w:vAlign w:val="center"/>
          </w:tcPr>
          <w:p w14:paraId="6779D01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-2,168</w:t>
            </w:r>
          </w:p>
        </w:tc>
        <w:tc>
          <w:tcPr>
            <w:tcW w:w="380" w:type="dxa"/>
            <w:vAlign w:val="center"/>
          </w:tcPr>
          <w:p w14:paraId="4730E449" w14:textId="77777777" w:rsidR="00BE21FF" w:rsidRPr="001E4794" w:rsidRDefault="00BE21FF" w:rsidP="00D428F4">
            <w:pPr>
              <w:spacing w:line="240" w:lineRule="auto"/>
              <w:ind w:left="-57" w:right="-57" w:firstLine="0"/>
              <w:jc w:val="left"/>
              <w:rPr>
                <w:rFonts w:ascii="Arial" w:hAnsi="Arial" w:cs="Arial"/>
                <w:sz w:val="14"/>
                <w:szCs w:val="14"/>
              </w:rPr>
            </w:pPr>
            <w:r w:rsidRPr="001E4794">
              <w:rPr>
                <w:rFonts w:ascii="Arial" w:hAnsi="Arial" w:cs="Arial"/>
                <w:sz w:val="14"/>
                <w:szCs w:val="14"/>
              </w:rPr>
              <w:t>*</w:t>
            </w:r>
          </w:p>
        </w:tc>
      </w:tr>
      <w:tr w:rsidR="00BE21FF" w:rsidRPr="001E4794" w14:paraId="108BA8BE" w14:textId="77777777" w:rsidTr="00D428F4">
        <w:trPr>
          <w:trHeight w:val="20"/>
          <w:jc w:val="center"/>
        </w:trPr>
        <w:tc>
          <w:tcPr>
            <w:tcW w:w="1129" w:type="dxa"/>
            <w:vAlign w:val="center"/>
          </w:tcPr>
          <w:p w14:paraId="16C50653" w14:textId="77777777" w:rsidR="00BE21FF" w:rsidRPr="001E4794" w:rsidRDefault="00BE21FF" w:rsidP="00D428F4">
            <w:pPr>
              <w:spacing w:line="240" w:lineRule="auto"/>
              <w:ind w:left="-57" w:right="-57" w:firstLine="0"/>
              <w:jc w:val="center"/>
              <w:rPr>
                <w:rFonts w:ascii="Arial" w:hAnsi="Arial" w:cs="Arial"/>
                <w:sz w:val="14"/>
                <w:szCs w:val="14"/>
              </w:rPr>
            </w:pPr>
          </w:p>
        </w:tc>
        <w:tc>
          <w:tcPr>
            <w:tcW w:w="1200" w:type="dxa"/>
            <w:gridSpan w:val="2"/>
            <w:vAlign w:val="center"/>
          </w:tcPr>
          <w:p w14:paraId="1F906E7A"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(0,440)</w:t>
            </w:r>
          </w:p>
        </w:tc>
        <w:tc>
          <w:tcPr>
            <w:tcW w:w="1272" w:type="dxa"/>
            <w:gridSpan w:val="2"/>
            <w:vAlign w:val="center"/>
          </w:tcPr>
          <w:p w14:paraId="02EB0D60"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(1,039)</w:t>
            </w:r>
          </w:p>
        </w:tc>
        <w:tc>
          <w:tcPr>
            <w:tcW w:w="1307" w:type="dxa"/>
            <w:gridSpan w:val="2"/>
            <w:vAlign w:val="center"/>
          </w:tcPr>
          <w:p w14:paraId="0E6CC131"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(0,953)</w:t>
            </w:r>
          </w:p>
        </w:tc>
        <w:tc>
          <w:tcPr>
            <w:tcW w:w="1191" w:type="dxa"/>
            <w:gridSpan w:val="2"/>
            <w:vAlign w:val="center"/>
          </w:tcPr>
          <w:p w14:paraId="7D3C39CF"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(0,740)</w:t>
            </w:r>
          </w:p>
        </w:tc>
        <w:tc>
          <w:tcPr>
            <w:tcW w:w="1025" w:type="dxa"/>
            <w:gridSpan w:val="2"/>
            <w:vAlign w:val="center"/>
          </w:tcPr>
          <w:p w14:paraId="0A82B636"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(1,008)</w:t>
            </w:r>
          </w:p>
        </w:tc>
        <w:tc>
          <w:tcPr>
            <w:tcW w:w="1098" w:type="dxa"/>
            <w:gridSpan w:val="2"/>
            <w:vAlign w:val="center"/>
          </w:tcPr>
          <w:p w14:paraId="5394DA68" w14:textId="77777777" w:rsidR="00BE21FF" w:rsidRPr="001E4794" w:rsidRDefault="00BE21FF" w:rsidP="00D428F4">
            <w:pPr>
              <w:spacing w:line="240" w:lineRule="auto"/>
              <w:ind w:left="-57" w:right="-57" w:firstLine="0"/>
              <w:jc w:val="center"/>
              <w:rPr>
                <w:rFonts w:ascii="Arial" w:hAnsi="Arial" w:cs="Arial"/>
                <w:sz w:val="14"/>
                <w:szCs w:val="14"/>
              </w:rPr>
            </w:pPr>
            <w:r w:rsidRPr="001E4794">
              <w:rPr>
                <w:rFonts w:ascii="Arial" w:eastAsia="Calibri" w:hAnsi="Arial" w:cs="Arial"/>
                <w:color w:val="000000"/>
                <w:sz w:val="14"/>
                <w:szCs w:val="14"/>
                <w:lang w:eastAsia="en-US"/>
              </w:rPr>
              <w:t>(1,241)</w:t>
            </w:r>
          </w:p>
        </w:tc>
      </w:tr>
      <w:tr w:rsidR="00AA220A" w:rsidRPr="001E4794" w14:paraId="52AA3B66" w14:textId="77777777" w:rsidTr="00D428F4">
        <w:trPr>
          <w:trHeight w:val="20"/>
          <w:jc w:val="center"/>
        </w:trPr>
        <w:tc>
          <w:tcPr>
            <w:tcW w:w="1129" w:type="dxa"/>
            <w:vAlign w:val="center"/>
          </w:tcPr>
          <w:p w14:paraId="58D5362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TAM</w:t>
            </w:r>
          </w:p>
        </w:tc>
        <w:tc>
          <w:tcPr>
            <w:tcW w:w="601" w:type="dxa"/>
            <w:vAlign w:val="center"/>
          </w:tcPr>
          <w:p w14:paraId="068B2155"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-0,123</w:t>
            </w:r>
          </w:p>
        </w:tc>
        <w:tc>
          <w:tcPr>
            <w:tcW w:w="599" w:type="dxa"/>
            <w:vAlign w:val="center"/>
          </w:tcPr>
          <w:p w14:paraId="228A5EF8"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vAlign w:val="center"/>
          </w:tcPr>
          <w:p w14:paraId="316A2690"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0,100</w:t>
            </w:r>
          </w:p>
        </w:tc>
        <w:tc>
          <w:tcPr>
            <w:tcW w:w="487" w:type="dxa"/>
            <w:vAlign w:val="center"/>
          </w:tcPr>
          <w:p w14:paraId="50562D5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vAlign w:val="center"/>
          </w:tcPr>
          <w:p w14:paraId="15154F7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-0,370</w:t>
            </w:r>
          </w:p>
        </w:tc>
        <w:tc>
          <w:tcPr>
            <w:tcW w:w="564" w:type="dxa"/>
            <w:vAlign w:val="center"/>
          </w:tcPr>
          <w:p w14:paraId="6D95AC2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vAlign w:val="center"/>
          </w:tcPr>
          <w:p w14:paraId="21F9D83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0,197</w:t>
            </w:r>
          </w:p>
        </w:tc>
        <w:tc>
          <w:tcPr>
            <w:tcW w:w="514" w:type="dxa"/>
            <w:vAlign w:val="center"/>
          </w:tcPr>
          <w:p w14:paraId="08E888A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vAlign w:val="center"/>
          </w:tcPr>
          <w:p w14:paraId="5BCE4960"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0,014</w:t>
            </w:r>
          </w:p>
        </w:tc>
        <w:tc>
          <w:tcPr>
            <w:tcW w:w="380" w:type="dxa"/>
            <w:vAlign w:val="center"/>
          </w:tcPr>
          <w:p w14:paraId="13E1CD42"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vAlign w:val="center"/>
          </w:tcPr>
          <w:p w14:paraId="588C073C"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-0,984</w:t>
            </w:r>
          </w:p>
        </w:tc>
        <w:tc>
          <w:tcPr>
            <w:tcW w:w="380" w:type="dxa"/>
            <w:vAlign w:val="center"/>
          </w:tcPr>
          <w:p w14:paraId="0EFE73B9"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r>
      <w:tr w:rsidR="00BE21FF" w:rsidRPr="001E4794" w14:paraId="6B2ECC8C" w14:textId="77777777" w:rsidTr="00D428F4">
        <w:trPr>
          <w:trHeight w:val="20"/>
          <w:jc w:val="center"/>
        </w:trPr>
        <w:tc>
          <w:tcPr>
            <w:tcW w:w="1129" w:type="dxa"/>
            <w:vAlign w:val="center"/>
          </w:tcPr>
          <w:p w14:paraId="67B5A4EC" w14:textId="77777777" w:rsidR="00BE21FF" w:rsidRPr="001E4794" w:rsidRDefault="00BE21FF" w:rsidP="00D428F4">
            <w:pPr>
              <w:spacing w:line="240" w:lineRule="auto"/>
              <w:ind w:left="-57" w:right="-57" w:firstLine="0"/>
              <w:jc w:val="center"/>
              <w:rPr>
                <w:rFonts w:ascii="Arial" w:hAnsi="Arial" w:cs="Arial"/>
                <w:color w:val="000000"/>
                <w:sz w:val="14"/>
                <w:szCs w:val="14"/>
              </w:rPr>
            </w:pPr>
          </w:p>
        </w:tc>
        <w:tc>
          <w:tcPr>
            <w:tcW w:w="1200" w:type="dxa"/>
            <w:gridSpan w:val="2"/>
            <w:vAlign w:val="center"/>
          </w:tcPr>
          <w:p w14:paraId="3E84EF04"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(0,061)</w:t>
            </w:r>
          </w:p>
        </w:tc>
        <w:tc>
          <w:tcPr>
            <w:tcW w:w="1272" w:type="dxa"/>
            <w:gridSpan w:val="2"/>
            <w:vAlign w:val="center"/>
          </w:tcPr>
          <w:p w14:paraId="0CD23AE8"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(0,165)</w:t>
            </w:r>
          </w:p>
        </w:tc>
        <w:tc>
          <w:tcPr>
            <w:tcW w:w="1307" w:type="dxa"/>
            <w:gridSpan w:val="2"/>
            <w:vAlign w:val="center"/>
          </w:tcPr>
          <w:p w14:paraId="782A9093"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(0,137)</w:t>
            </w:r>
          </w:p>
        </w:tc>
        <w:tc>
          <w:tcPr>
            <w:tcW w:w="1191" w:type="dxa"/>
            <w:gridSpan w:val="2"/>
            <w:vAlign w:val="center"/>
          </w:tcPr>
          <w:p w14:paraId="13F93D62" w14:textId="77777777" w:rsidR="00BE21FF" w:rsidRPr="001E4794" w:rsidRDefault="00BE21FF" w:rsidP="00D428F4">
            <w:pPr>
              <w:spacing w:line="240" w:lineRule="auto"/>
              <w:ind w:left="-57" w:right="-57" w:firstLine="0"/>
              <w:jc w:val="center"/>
              <w:rPr>
                <w:rFonts w:ascii="Arial" w:eastAsia="Calibri" w:hAnsi="Arial" w:cs="Arial"/>
                <w:color w:val="000000"/>
                <w:sz w:val="14"/>
                <w:szCs w:val="14"/>
              </w:rPr>
            </w:pPr>
            <w:r w:rsidRPr="001E4794">
              <w:rPr>
                <w:rFonts w:ascii="Arial" w:eastAsia="Calibri" w:hAnsi="Arial" w:cs="Arial"/>
                <w:color w:val="000000"/>
                <w:sz w:val="14"/>
                <w:szCs w:val="14"/>
                <w:lang w:eastAsia="en-US"/>
              </w:rPr>
              <w:t>(0,104)</w:t>
            </w:r>
          </w:p>
        </w:tc>
        <w:tc>
          <w:tcPr>
            <w:tcW w:w="1025" w:type="dxa"/>
            <w:gridSpan w:val="2"/>
            <w:vAlign w:val="center"/>
          </w:tcPr>
          <w:p w14:paraId="5BB49451" w14:textId="77777777" w:rsidR="00BE21FF" w:rsidRPr="001E4794" w:rsidRDefault="00BE21FF" w:rsidP="00D428F4">
            <w:pPr>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(0,147)</w:t>
            </w:r>
          </w:p>
        </w:tc>
        <w:tc>
          <w:tcPr>
            <w:tcW w:w="1098" w:type="dxa"/>
            <w:gridSpan w:val="2"/>
            <w:vAlign w:val="center"/>
          </w:tcPr>
          <w:p w14:paraId="39AADEB6" w14:textId="77777777" w:rsidR="00BE21FF" w:rsidRPr="001E4794" w:rsidRDefault="00BE21FF" w:rsidP="00D428F4">
            <w:pPr>
              <w:spacing w:line="240" w:lineRule="auto"/>
              <w:ind w:left="-57" w:right="-57" w:firstLine="0"/>
              <w:jc w:val="center"/>
              <w:rPr>
                <w:rFonts w:ascii="Arial" w:eastAsia="Calibri" w:hAnsi="Arial" w:cs="Arial"/>
                <w:color w:val="000000"/>
                <w:sz w:val="14"/>
                <w:szCs w:val="14"/>
              </w:rPr>
            </w:pPr>
            <w:r w:rsidRPr="001E4794">
              <w:rPr>
                <w:rFonts w:ascii="Arial" w:eastAsia="Calibri" w:hAnsi="Arial" w:cs="Arial"/>
                <w:color w:val="000000"/>
                <w:sz w:val="14"/>
                <w:szCs w:val="14"/>
                <w:lang w:eastAsia="en-US"/>
              </w:rPr>
              <w:t>(0,207)</w:t>
            </w:r>
          </w:p>
        </w:tc>
      </w:tr>
      <w:tr w:rsidR="00AA220A" w:rsidRPr="001E4794" w14:paraId="3C892F40" w14:textId="77777777" w:rsidTr="00D428F4">
        <w:trPr>
          <w:trHeight w:val="20"/>
          <w:jc w:val="center"/>
        </w:trPr>
        <w:tc>
          <w:tcPr>
            <w:tcW w:w="1129" w:type="dxa"/>
            <w:vAlign w:val="center"/>
          </w:tcPr>
          <w:p w14:paraId="7D6A0E4B"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ROE</w:t>
            </w:r>
          </w:p>
        </w:tc>
        <w:tc>
          <w:tcPr>
            <w:tcW w:w="601" w:type="dxa"/>
            <w:vAlign w:val="center"/>
          </w:tcPr>
          <w:p w14:paraId="68B341C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-0,806</w:t>
            </w:r>
          </w:p>
        </w:tc>
        <w:tc>
          <w:tcPr>
            <w:tcW w:w="599" w:type="dxa"/>
            <w:vAlign w:val="center"/>
          </w:tcPr>
          <w:p w14:paraId="3FEED30C"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vAlign w:val="center"/>
          </w:tcPr>
          <w:p w14:paraId="48233AD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-0,444</w:t>
            </w:r>
          </w:p>
        </w:tc>
        <w:tc>
          <w:tcPr>
            <w:tcW w:w="487" w:type="dxa"/>
            <w:vAlign w:val="center"/>
          </w:tcPr>
          <w:p w14:paraId="0A952EE3"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vAlign w:val="center"/>
          </w:tcPr>
          <w:p w14:paraId="183479B5"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-0,239</w:t>
            </w:r>
          </w:p>
        </w:tc>
        <w:tc>
          <w:tcPr>
            <w:tcW w:w="564" w:type="dxa"/>
            <w:vAlign w:val="center"/>
          </w:tcPr>
          <w:p w14:paraId="302DD3EB"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77" w:type="dxa"/>
            <w:vAlign w:val="center"/>
          </w:tcPr>
          <w:p w14:paraId="6927BCEE"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1,159</w:t>
            </w:r>
          </w:p>
        </w:tc>
        <w:tc>
          <w:tcPr>
            <w:tcW w:w="514" w:type="dxa"/>
            <w:vAlign w:val="center"/>
          </w:tcPr>
          <w:p w14:paraId="3487D92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vAlign w:val="center"/>
          </w:tcPr>
          <w:p w14:paraId="5AA21C6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-4,384</w:t>
            </w:r>
          </w:p>
        </w:tc>
        <w:tc>
          <w:tcPr>
            <w:tcW w:w="380" w:type="dxa"/>
            <w:vAlign w:val="center"/>
          </w:tcPr>
          <w:p w14:paraId="1827C16F"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18" w:type="dxa"/>
            <w:vAlign w:val="center"/>
          </w:tcPr>
          <w:p w14:paraId="48346D08"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-0,557</w:t>
            </w:r>
          </w:p>
        </w:tc>
        <w:tc>
          <w:tcPr>
            <w:tcW w:w="380" w:type="dxa"/>
            <w:vAlign w:val="center"/>
          </w:tcPr>
          <w:p w14:paraId="1E479E1B"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r>
      <w:tr w:rsidR="00BE21FF" w:rsidRPr="001E4794" w14:paraId="3E31B842" w14:textId="77777777" w:rsidTr="00A54CC4">
        <w:trPr>
          <w:trHeight w:val="20"/>
          <w:jc w:val="center"/>
        </w:trPr>
        <w:tc>
          <w:tcPr>
            <w:tcW w:w="1129" w:type="dxa"/>
            <w:tcBorders>
              <w:bottom w:val="single" w:sz="4" w:space="0" w:color="auto"/>
            </w:tcBorders>
            <w:vAlign w:val="center"/>
          </w:tcPr>
          <w:p w14:paraId="75E681FD" w14:textId="77777777" w:rsidR="00BE21FF" w:rsidRPr="001E4794" w:rsidRDefault="00BE21FF" w:rsidP="00D428F4">
            <w:pPr>
              <w:spacing w:line="240" w:lineRule="auto"/>
              <w:ind w:left="-57" w:right="-57" w:firstLine="0"/>
              <w:jc w:val="center"/>
              <w:rPr>
                <w:rFonts w:ascii="Arial" w:hAnsi="Arial" w:cs="Arial"/>
                <w:color w:val="000000"/>
                <w:sz w:val="14"/>
                <w:szCs w:val="14"/>
              </w:rPr>
            </w:pPr>
          </w:p>
        </w:tc>
        <w:tc>
          <w:tcPr>
            <w:tcW w:w="1200" w:type="dxa"/>
            <w:gridSpan w:val="2"/>
            <w:tcBorders>
              <w:bottom w:val="single" w:sz="4" w:space="0" w:color="auto"/>
            </w:tcBorders>
            <w:vAlign w:val="center"/>
          </w:tcPr>
          <w:p w14:paraId="2715BBA6"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(0,328)</w:t>
            </w:r>
          </w:p>
        </w:tc>
        <w:tc>
          <w:tcPr>
            <w:tcW w:w="1272" w:type="dxa"/>
            <w:gridSpan w:val="2"/>
            <w:tcBorders>
              <w:bottom w:val="single" w:sz="4" w:space="0" w:color="auto"/>
            </w:tcBorders>
            <w:vAlign w:val="center"/>
          </w:tcPr>
          <w:p w14:paraId="07CCA926"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(0,795)</w:t>
            </w:r>
          </w:p>
        </w:tc>
        <w:tc>
          <w:tcPr>
            <w:tcW w:w="1307" w:type="dxa"/>
            <w:gridSpan w:val="2"/>
            <w:tcBorders>
              <w:bottom w:val="single" w:sz="4" w:space="0" w:color="auto"/>
            </w:tcBorders>
            <w:vAlign w:val="center"/>
          </w:tcPr>
          <w:p w14:paraId="5181C21D" w14:textId="77777777" w:rsidR="00BE21FF" w:rsidRPr="001E4794" w:rsidRDefault="00BE21FF" w:rsidP="00D428F4">
            <w:pPr>
              <w:widowControl/>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(0,670)</w:t>
            </w:r>
          </w:p>
        </w:tc>
        <w:tc>
          <w:tcPr>
            <w:tcW w:w="1191" w:type="dxa"/>
            <w:gridSpan w:val="2"/>
            <w:tcBorders>
              <w:bottom w:val="single" w:sz="4" w:space="0" w:color="auto"/>
            </w:tcBorders>
            <w:vAlign w:val="center"/>
          </w:tcPr>
          <w:p w14:paraId="7A00ABEC" w14:textId="77777777" w:rsidR="00BE21FF" w:rsidRPr="001E4794" w:rsidRDefault="00BE21FF" w:rsidP="00D428F4">
            <w:pPr>
              <w:spacing w:line="240" w:lineRule="auto"/>
              <w:ind w:left="-57" w:right="-57" w:firstLine="0"/>
              <w:jc w:val="center"/>
              <w:rPr>
                <w:rFonts w:ascii="Arial" w:eastAsia="Calibri" w:hAnsi="Arial" w:cs="Arial"/>
                <w:color w:val="000000"/>
                <w:sz w:val="14"/>
                <w:szCs w:val="14"/>
              </w:rPr>
            </w:pPr>
            <w:r w:rsidRPr="001E4794">
              <w:rPr>
                <w:rFonts w:ascii="Arial" w:eastAsia="Calibri" w:hAnsi="Arial" w:cs="Arial"/>
                <w:color w:val="000000"/>
                <w:sz w:val="14"/>
                <w:szCs w:val="14"/>
                <w:lang w:eastAsia="en-US"/>
              </w:rPr>
              <w:t>(0,594)</w:t>
            </w:r>
          </w:p>
        </w:tc>
        <w:tc>
          <w:tcPr>
            <w:tcW w:w="1025" w:type="dxa"/>
            <w:gridSpan w:val="2"/>
            <w:tcBorders>
              <w:bottom w:val="single" w:sz="4" w:space="0" w:color="auto"/>
            </w:tcBorders>
            <w:vAlign w:val="center"/>
          </w:tcPr>
          <w:p w14:paraId="06D07154" w14:textId="77777777" w:rsidR="00BE21FF" w:rsidRPr="001E4794" w:rsidRDefault="00BE21FF" w:rsidP="00D428F4">
            <w:pPr>
              <w:spacing w:line="240" w:lineRule="auto"/>
              <w:ind w:left="-57" w:right="-57" w:firstLine="0"/>
              <w:jc w:val="center"/>
              <w:rPr>
                <w:rFonts w:ascii="Arial" w:eastAsia="Calibri" w:hAnsi="Arial" w:cs="Arial"/>
                <w:color w:val="000000"/>
                <w:sz w:val="14"/>
                <w:szCs w:val="14"/>
              </w:rPr>
            </w:pPr>
            <w:r w:rsidRPr="001E4794">
              <w:rPr>
                <w:rFonts w:ascii="Arial" w:eastAsia="Calibri" w:hAnsi="Arial" w:cs="Arial"/>
                <w:color w:val="000000"/>
                <w:sz w:val="14"/>
                <w:szCs w:val="14"/>
                <w:lang w:eastAsia="en-US"/>
              </w:rPr>
              <w:t>(0,596)</w:t>
            </w:r>
          </w:p>
        </w:tc>
        <w:tc>
          <w:tcPr>
            <w:tcW w:w="1098" w:type="dxa"/>
            <w:gridSpan w:val="2"/>
            <w:tcBorders>
              <w:bottom w:val="single" w:sz="4" w:space="0" w:color="auto"/>
            </w:tcBorders>
            <w:vAlign w:val="center"/>
          </w:tcPr>
          <w:p w14:paraId="059848E9" w14:textId="77777777" w:rsidR="00BE21FF" w:rsidRPr="001E4794" w:rsidRDefault="00BE21FF" w:rsidP="00D428F4">
            <w:pPr>
              <w:spacing w:line="240" w:lineRule="auto"/>
              <w:ind w:left="-57" w:right="-57" w:firstLine="0"/>
              <w:jc w:val="center"/>
              <w:rPr>
                <w:rFonts w:ascii="Arial" w:hAnsi="Arial" w:cs="Arial"/>
                <w:color w:val="000000"/>
                <w:sz w:val="14"/>
                <w:szCs w:val="14"/>
              </w:rPr>
            </w:pPr>
            <w:r w:rsidRPr="001E4794">
              <w:rPr>
                <w:rFonts w:ascii="Arial" w:eastAsia="Calibri" w:hAnsi="Arial" w:cs="Arial"/>
                <w:color w:val="000000"/>
                <w:sz w:val="14"/>
                <w:szCs w:val="14"/>
                <w:lang w:eastAsia="en-US"/>
              </w:rPr>
              <w:t>(0,932)</w:t>
            </w:r>
          </w:p>
        </w:tc>
      </w:tr>
      <w:tr w:rsidR="00AA220A" w:rsidRPr="001E4794" w14:paraId="1304B68A" w14:textId="77777777" w:rsidTr="00D428F4">
        <w:trPr>
          <w:trHeight w:val="20"/>
          <w:jc w:val="center"/>
        </w:trPr>
        <w:tc>
          <w:tcPr>
            <w:tcW w:w="1129" w:type="dxa"/>
            <w:tcBorders>
              <w:top w:val="single" w:sz="4" w:space="0" w:color="auto"/>
            </w:tcBorders>
            <w:vAlign w:val="center"/>
          </w:tcPr>
          <w:p w14:paraId="14769CDD" w14:textId="77777777" w:rsidR="00BE21FF" w:rsidRPr="001E4794" w:rsidRDefault="00BE21FF" w:rsidP="00D428F4">
            <w:pPr>
              <w:widowControl/>
              <w:spacing w:line="240" w:lineRule="auto"/>
              <w:ind w:left="-57" w:right="-57" w:firstLine="0"/>
              <w:jc w:val="left"/>
              <w:rPr>
                <w:rFonts w:ascii="Arial" w:hAnsi="Arial" w:cs="Arial"/>
                <w:sz w:val="14"/>
                <w:szCs w:val="14"/>
              </w:rPr>
            </w:pPr>
            <w:r w:rsidRPr="001E4794">
              <w:rPr>
                <w:rFonts w:ascii="Arial" w:hAnsi="Arial" w:cs="Arial"/>
                <w:sz w:val="14"/>
                <w:szCs w:val="14"/>
              </w:rPr>
              <w:t>Χ</w:t>
            </w:r>
            <w:r w:rsidRPr="001E4794">
              <w:rPr>
                <w:rFonts w:ascii="Arial" w:hAnsi="Arial" w:cs="Arial"/>
                <w:sz w:val="14"/>
                <w:szCs w:val="14"/>
                <w:vertAlign w:val="superscript"/>
              </w:rPr>
              <w:t>2</w:t>
            </w:r>
          </w:p>
        </w:tc>
        <w:tc>
          <w:tcPr>
            <w:tcW w:w="601" w:type="dxa"/>
            <w:tcBorders>
              <w:top w:val="single" w:sz="4" w:space="0" w:color="auto"/>
            </w:tcBorders>
            <w:vAlign w:val="center"/>
          </w:tcPr>
          <w:p w14:paraId="256C787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170,00</w:t>
            </w:r>
          </w:p>
        </w:tc>
        <w:tc>
          <w:tcPr>
            <w:tcW w:w="599" w:type="dxa"/>
            <w:tcBorders>
              <w:top w:val="single" w:sz="4" w:space="0" w:color="auto"/>
            </w:tcBorders>
            <w:vAlign w:val="center"/>
          </w:tcPr>
          <w:p w14:paraId="4D555CB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85" w:type="dxa"/>
            <w:tcBorders>
              <w:top w:val="single" w:sz="4" w:space="0" w:color="auto"/>
            </w:tcBorders>
            <w:vAlign w:val="center"/>
          </w:tcPr>
          <w:p w14:paraId="5ED1E3BE"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53,64</w:t>
            </w:r>
          </w:p>
        </w:tc>
        <w:tc>
          <w:tcPr>
            <w:tcW w:w="487" w:type="dxa"/>
            <w:tcBorders>
              <w:top w:val="single" w:sz="4" w:space="0" w:color="auto"/>
            </w:tcBorders>
            <w:vAlign w:val="center"/>
          </w:tcPr>
          <w:p w14:paraId="351ACA03"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43" w:type="dxa"/>
            <w:tcBorders>
              <w:top w:val="single" w:sz="4" w:space="0" w:color="auto"/>
            </w:tcBorders>
            <w:vAlign w:val="center"/>
          </w:tcPr>
          <w:p w14:paraId="5FC4B4B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86,70</w:t>
            </w:r>
          </w:p>
        </w:tc>
        <w:tc>
          <w:tcPr>
            <w:tcW w:w="564" w:type="dxa"/>
            <w:tcBorders>
              <w:top w:val="single" w:sz="4" w:space="0" w:color="auto"/>
            </w:tcBorders>
            <w:vAlign w:val="center"/>
          </w:tcPr>
          <w:p w14:paraId="1855082D"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77" w:type="dxa"/>
            <w:tcBorders>
              <w:top w:val="single" w:sz="4" w:space="0" w:color="auto"/>
            </w:tcBorders>
            <w:vAlign w:val="center"/>
          </w:tcPr>
          <w:p w14:paraId="1127755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118,30</w:t>
            </w:r>
          </w:p>
        </w:tc>
        <w:tc>
          <w:tcPr>
            <w:tcW w:w="514" w:type="dxa"/>
            <w:tcBorders>
              <w:top w:val="single" w:sz="4" w:space="0" w:color="auto"/>
            </w:tcBorders>
            <w:vAlign w:val="center"/>
          </w:tcPr>
          <w:p w14:paraId="31CCB5DD"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645" w:type="dxa"/>
            <w:tcBorders>
              <w:top w:val="single" w:sz="4" w:space="0" w:color="auto"/>
            </w:tcBorders>
            <w:vAlign w:val="center"/>
          </w:tcPr>
          <w:p w14:paraId="1569A86B"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150,41</w:t>
            </w:r>
          </w:p>
        </w:tc>
        <w:tc>
          <w:tcPr>
            <w:tcW w:w="380" w:type="dxa"/>
            <w:tcBorders>
              <w:top w:val="single" w:sz="4" w:space="0" w:color="auto"/>
            </w:tcBorders>
            <w:vAlign w:val="center"/>
          </w:tcPr>
          <w:p w14:paraId="116ECF2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c>
          <w:tcPr>
            <w:tcW w:w="718" w:type="dxa"/>
            <w:tcBorders>
              <w:top w:val="single" w:sz="4" w:space="0" w:color="auto"/>
            </w:tcBorders>
            <w:vAlign w:val="center"/>
          </w:tcPr>
          <w:p w14:paraId="630D4961"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42,00</w:t>
            </w:r>
          </w:p>
        </w:tc>
        <w:tc>
          <w:tcPr>
            <w:tcW w:w="380" w:type="dxa"/>
            <w:tcBorders>
              <w:top w:val="single" w:sz="4" w:space="0" w:color="auto"/>
            </w:tcBorders>
            <w:vAlign w:val="center"/>
          </w:tcPr>
          <w:p w14:paraId="0FC4FC03"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eastAsia="Calibri" w:hAnsi="Arial" w:cs="Arial"/>
                <w:color w:val="000000"/>
                <w:sz w:val="14"/>
                <w:szCs w:val="14"/>
                <w:lang w:eastAsia="en-US"/>
              </w:rPr>
              <w:t>***</w:t>
            </w:r>
          </w:p>
        </w:tc>
      </w:tr>
      <w:tr w:rsidR="00AA220A" w:rsidRPr="001E4794" w14:paraId="426650F0" w14:textId="77777777" w:rsidTr="00A54CC4">
        <w:trPr>
          <w:trHeight w:val="20"/>
          <w:jc w:val="center"/>
        </w:trPr>
        <w:tc>
          <w:tcPr>
            <w:tcW w:w="1129" w:type="dxa"/>
            <w:tcBorders>
              <w:bottom w:val="single" w:sz="4" w:space="0" w:color="auto"/>
            </w:tcBorders>
            <w:vAlign w:val="center"/>
          </w:tcPr>
          <w:p w14:paraId="36DB8F7F" w14:textId="77777777" w:rsidR="00BE21FF" w:rsidRPr="001E4794" w:rsidRDefault="00BE21FF" w:rsidP="00D428F4">
            <w:pPr>
              <w:widowControl/>
              <w:spacing w:line="240" w:lineRule="auto"/>
              <w:ind w:left="-57" w:right="-57" w:firstLine="0"/>
              <w:jc w:val="left"/>
              <w:rPr>
                <w:rFonts w:ascii="Arial" w:hAnsi="Arial" w:cs="Arial"/>
                <w:sz w:val="14"/>
                <w:szCs w:val="14"/>
              </w:rPr>
            </w:pPr>
            <w:r w:rsidRPr="001E4794">
              <w:rPr>
                <w:rFonts w:ascii="Arial" w:hAnsi="Arial" w:cs="Arial"/>
                <w:sz w:val="14"/>
                <w:szCs w:val="14"/>
              </w:rPr>
              <w:t>VIF</w:t>
            </w:r>
          </w:p>
        </w:tc>
        <w:tc>
          <w:tcPr>
            <w:tcW w:w="601" w:type="dxa"/>
            <w:tcBorders>
              <w:bottom w:val="single" w:sz="4" w:space="0" w:color="auto"/>
            </w:tcBorders>
            <w:vAlign w:val="center"/>
          </w:tcPr>
          <w:p w14:paraId="201CB9EE"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1,20</w:t>
            </w:r>
          </w:p>
        </w:tc>
        <w:tc>
          <w:tcPr>
            <w:tcW w:w="599" w:type="dxa"/>
            <w:tcBorders>
              <w:bottom w:val="single" w:sz="4" w:space="0" w:color="auto"/>
            </w:tcBorders>
            <w:vAlign w:val="center"/>
          </w:tcPr>
          <w:p w14:paraId="09159B2F"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85" w:type="dxa"/>
            <w:tcBorders>
              <w:bottom w:val="single" w:sz="4" w:space="0" w:color="auto"/>
            </w:tcBorders>
            <w:vAlign w:val="center"/>
          </w:tcPr>
          <w:p w14:paraId="1CEF04A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1,45</w:t>
            </w:r>
          </w:p>
        </w:tc>
        <w:tc>
          <w:tcPr>
            <w:tcW w:w="487" w:type="dxa"/>
            <w:tcBorders>
              <w:bottom w:val="single" w:sz="4" w:space="0" w:color="auto"/>
            </w:tcBorders>
            <w:vAlign w:val="center"/>
          </w:tcPr>
          <w:p w14:paraId="18919B49"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tcBorders>
              <w:bottom w:val="single" w:sz="4" w:space="0" w:color="auto"/>
            </w:tcBorders>
            <w:vAlign w:val="center"/>
          </w:tcPr>
          <w:p w14:paraId="24FF1098"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1,38</w:t>
            </w:r>
          </w:p>
        </w:tc>
        <w:tc>
          <w:tcPr>
            <w:tcW w:w="564" w:type="dxa"/>
            <w:tcBorders>
              <w:bottom w:val="single" w:sz="4" w:space="0" w:color="auto"/>
            </w:tcBorders>
            <w:vAlign w:val="center"/>
          </w:tcPr>
          <w:p w14:paraId="682C5F39"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77" w:type="dxa"/>
            <w:tcBorders>
              <w:bottom w:val="single" w:sz="4" w:space="0" w:color="auto"/>
            </w:tcBorders>
            <w:vAlign w:val="center"/>
          </w:tcPr>
          <w:p w14:paraId="094DFCE7"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1,30</w:t>
            </w:r>
          </w:p>
        </w:tc>
        <w:tc>
          <w:tcPr>
            <w:tcW w:w="514" w:type="dxa"/>
            <w:tcBorders>
              <w:bottom w:val="single" w:sz="4" w:space="0" w:color="auto"/>
            </w:tcBorders>
            <w:vAlign w:val="center"/>
          </w:tcPr>
          <w:p w14:paraId="0FEBF2AD"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45" w:type="dxa"/>
            <w:tcBorders>
              <w:bottom w:val="single" w:sz="4" w:space="0" w:color="auto"/>
            </w:tcBorders>
            <w:vAlign w:val="center"/>
          </w:tcPr>
          <w:p w14:paraId="69C998A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1,68</w:t>
            </w:r>
          </w:p>
        </w:tc>
        <w:tc>
          <w:tcPr>
            <w:tcW w:w="380" w:type="dxa"/>
            <w:tcBorders>
              <w:bottom w:val="single" w:sz="4" w:space="0" w:color="auto"/>
            </w:tcBorders>
            <w:vAlign w:val="center"/>
          </w:tcPr>
          <w:p w14:paraId="75F16B1F"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tcBorders>
              <w:bottom w:val="single" w:sz="4" w:space="0" w:color="auto"/>
            </w:tcBorders>
            <w:vAlign w:val="center"/>
          </w:tcPr>
          <w:p w14:paraId="49A77028"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hAnsi="Arial" w:cs="Arial"/>
                <w:color w:val="000000"/>
                <w:sz w:val="14"/>
                <w:szCs w:val="14"/>
              </w:rPr>
              <w:t>1,88</w:t>
            </w:r>
          </w:p>
        </w:tc>
        <w:tc>
          <w:tcPr>
            <w:tcW w:w="380" w:type="dxa"/>
            <w:tcBorders>
              <w:bottom w:val="single" w:sz="4" w:space="0" w:color="auto"/>
            </w:tcBorders>
            <w:vAlign w:val="center"/>
          </w:tcPr>
          <w:p w14:paraId="37869DF3"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r>
      <w:tr w:rsidR="00AA220A" w:rsidRPr="001E4794" w14:paraId="63B05360" w14:textId="77777777" w:rsidTr="00A54CC4">
        <w:trPr>
          <w:trHeight w:val="20"/>
          <w:jc w:val="center"/>
        </w:trPr>
        <w:tc>
          <w:tcPr>
            <w:tcW w:w="1129" w:type="dxa"/>
            <w:tcBorders>
              <w:top w:val="single" w:sz="4" w:space="0" w:color="auto"/>
            </w:tcBorders>
            <w:vAlign w:val="center"/>
          </w:tcPr>
          <w:p w14:paraId="6A3BE2F9" w14:textId="0D7B2020"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Empre</w:t>
            </w:r>
            <w:r w:rsidR="00D428F4" w:rsidRPr="001E4794">
              <w:rPr>
                <w:rFonts w:ascii="Arial" w:hAnsi="Arial" w:cs="Arial"/>
                <w:color w:val="000000"/>
                <w:sz w:val="14"/>
                <w:szCs w:val="14"/>
              </w:rPr>
              <w:t>s</w:t>
            </w:r>
            <w:r w:rsidRPr="001E4794">
              <w:rPr>
                <w:rFonts w:ascii="Arial" w:hAnsi="Arial" w:cs="Arial"/>
                <w:color w:val="000000"/>
                <w:sz w:val="14"/>
                <w:szCs w:val="14"/>
              </w:rPr>
              <w:t>as</w:t>
            </w:r>
          </w:p>
        </w:tc>
        <w:tc>
          <w:tcPr>
            <w:tcW w:w="601" w:type="dxa"/>
            <w:tcBorders>
              <w:top w:val="single" w:sz="4" w:space="0" w:color="auto"/>
            </w:tcBorders>
            <w:vAlign w:val="center"/>
          </w:tcPr>
          <w:p w14:paraId="167F57DB"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281</w:t>
            </w:r>
          </w:p>
        </w:tc>
        <w:tc>
          <w:tcPr>
            <w:tcW w:w="599" w:type="dxa"/>
            <w:tcBorders>
              <w:top w:val="single" w:sz="4" w:space="0" w:color="auto"/>
            </w:tcBorders>
            <w:vAlign w:val="center"/>
          </w:tcPr>
          <w:p w14:paraId="2E5A2787"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85" w:type="dxa"/>
            <w:tcBorders>
              <w:top w:val="single" w:sz="4" w:space="0" w:color="auto"/>
            </w:tcBorders>
            <w:vAlign w:val="center"/>
          </w:tcPr>
          <w:p w14:paraId="53AB3E0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46</w:t>
            </w:r>
          </w:p>
        </w:tc>
        <w:tc>
          <w:tcPr>
            <w:tcW w:w="487" w:type="dxa"/>
            <w:tcBorders>
              <w:top w:val="single" w:sz="4" w:space="0" w:color="auto"/>
            </w:tcBorders>
            <w:vAlign w:val="center"/>
          </w:tcPr>
          <w:p w14:paraId="6B76B601"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tcBorders>
              <w:top w:val="single" w:sz="4" w:space="0" w:color="auto"/>
            </w:tcBorders>
            <w:vAlign w:val="center"/>
          </w:tcPr>
          <w:p w14:paraId="4431380D"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69</w:t>
            </w:r>
          </w:p>
        </w:tc>
        <w:tc>
          <w:tcPr>
            <w:tcW w:w="564" w:type="dxa"/>
            <w:tcBorders>
              <w:top w:val="single" w:sz="4" w:space="0" w:color="auto"/>
            </w:tcBorders>
            <w:vAlign w:val="center"/>
          </w:tcPr>
          <w:p w14:paraId="2F4035F2"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77" w:type="dxa"/>
            <w:tcBorders>
              <w:top w:val="single" w:sz="4" w:space="0" w:color="auto"/>
            </w:tcBorders>
            <w:vAlign w:val="center"/>
          </w:tcPr>
          <w:p w14:paraId="4D625BFB"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98</w:t>
            </w:r>
          </w:p>
        </w:tc>
        <w:tc>
          <w:tcPr>
            <w:tcW w:w="514" w:type="dxa"/>
            <w:tcBorders>
              <w:top w:val="single" w:sz="4" w:space="0" w:color="auto"/>
            </w:tcBorders>
            <w:vAlign w:val="center"/>
          </w:tcPr>
          <w:p w14:paraId="516F8892"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45" w:type="dxa"/>
            <w:tcBorders>
              <w:top w:val="single" w:sz="4" w:space="0" w:color="auto"/>
            </w:tcBorders>
            <w:vAlign w:val="center"/>
          </w:tcPr>
          <w:p w14:paraId="3ED72174"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57</w:t>
            </w:r>
          </w:p>
        </w:tc>
        <w:tc>
          <w:tcPr>
            <w:tcW w:w="380" w:type="dxa"/>
            <w:tcBorders>
              <w:top w:val="single" w:sz="4" w:space="0" w:color="auto"/>
            </w:tcBorders>
            <w:vAlign w:val="center"/>
          </w:tcPr>
          <w:p w14:paraId="5E2B45DE"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tcBorders>
              <w:top w:val="single" w:sz="4" w:space="0" w:color="auto"/>
            </w:tcBorders>
            <w:vAlign w:val="center"/>
          </w:tcPr>
          <w:p w14:paraId="3D24309D"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24</w:t>
            </w:r>
          </w:p>
        </w:tc>
        <w:tc>
          <w:tcPr>
            <w:tcW w:w="380" w:type="dxa"/>
            <w:tcBorders>
              <w:top w:val="single" w:sz="4" w:space="0" w:color="auto"/>
            </w:tcBorders>
            <w:vAlign w:val="center"/>
          </w:tcPr>
          <w:p w14:paraId="3069BE2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r>
      <w:tr w:rsidR="00AA220A" w:rsidRPr="001E4794" w14:paraId="1A757C77" w14:textId="77777777" w:rsidTr="00D428F4">
        <w:trPr>
          <w:trHeight w:val="20"/>
          <w:jc w:val="center"/>
        </w:trPr>
        <w:tc>
          <w:tcPr>
            <w:tcW w:w="1129" w:type="dxa"/>
            <w:tcBorders>
              <w:bottom w:val="single" w:sz="4" w:space="0" w:color="auto"/>
            </w:tcBorders>
            <w:vAlign w:val="center"/>
          </w:tcPr>
          <w:p w14:paraId="7E7B8414" w14:textId="0ED11DF8" w:rsidR="00BE21FF" w:rsidRPr="001E4794" w:rsidRDefault="00BE21FF" w:rsidP="00D428F4">
            <w:pPr>
              <w:widowControl/>
              <w:spacing w:line="240" w:lineRule="auto"/>
              <w:ind w:left="-57" w:right="-57" w:firstLine="0"/>
              <w:jc w:val="left"/>
              <w:rPr>
                <w:rFonts w:ascii="Arial" w:hAnsi="Arial" w:cs="Arial"/>
                <w:color w:val="000000"/>
                <w:sz w:val="14"/>
                <w:szCs w:val="14"/>
              </w:rPr>
            </w:pPr>
            <w:r w:rsidRPr="001E4794">
              <w:rPr>
                <w:rFonts w:ascii="Arial" w:hAnsi="Arial" w:cs="Arial"/>
                <w:color w:val="000000"/>
                <w:sz w:val="14"/>
                <w:szCs w:val="14"/>
              </w:rPr>
              <w:t>Observações</w:t>
            </w:r>
          </w:p>
        </w:tc>
        <w:tc>
          <w:tcPr>
            <w:tcW w:w="601" w:type="dxa"/>
            <w:tcBorders>
              <w:bottom w:val="single" w:sz="4" w:space="0" w:color="auto"/>
            </w:tcBorders>
            <w:vAlign w:val="center"/>
          </w:tcPr>
          <w:p w14:paraId="6386FD48"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741</w:t>
            </w:r>
          </w:p>
        </w:tc>
        <w:tc>
          <w:tcPr>
            <w:tcW w:w="599" w:type="dxa"/>
            <w:tcBorders>
              <w:bottom w:val="single" w:sz="4" w:space="0" w:color="auto"/>
            </w:tcBorders>
            <w:vAlign w:val="center"/>
          </w:tcPr>
          <w:p w14:paraId="4CAFA379"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85" w:type="dxa"/>
            <w:tcBorders>
              <w:bottom w:val="single" w:sz="4" w:space="0" w:color="auto"/>
            </w:tcBorders>
            <w:vAlign w:val="center"/>
          </w:tcPr>
          <w:p w14:paraId="091F3D84"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116</w:t>
            </w:r>
          </w:p>
        </w:tc>
        <w:tc>
          <w:tcPr>
            <w:tcW w:w="487" w:type="dxa"/>
            <w:tcBorders>
              <w:bottom w:val="single" w:sz="4" w:space="0" w:color="auto"/>
            </w:tcBorders>
            <w:vAlign w:val="center"/>
          </w:tcPr>
          <w:p w14:paraId="0E879B4A"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43" w:type="dxa"/>
            <w:tcBorders>
              <w:bottom w:val="single" w:sz="4" w:space="0" w:color="auto"/>
            </w:tcBorders>
            <w:vAlign w:val="center"/>
          </w:tcPr>
          <w:p w14:paraId="035D316A"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169</w:t>
            </w:r>
          </w:p>
        </w:tc>
        <w:tc>
          <w:tcPr>
            <w:tcW w:w="564" w:type="dxa"/>
            <w:tcBorders>
              <w:bottom w:val="single" w:sz="4" w:space="0" w:color="auto"/>
            </w:tcBorders>
            <w:vAlign w:val="center"/>
          </w:tcPr>
          <w:p w14:paraId="293D669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77" w:type="dxa"/>
            <w:tcBorders>
              <w:bottom w:val="single" w:sz="4" w:space="0" w:color="auto"/>
            </w:tcBorders>
            <w:vAlign w:val="center"/>
          </w:tcPr>
          <w:p w14:paraId="33952903"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244</w:t>
            </w:r>
          </w:p>
        </w:tc>
        <w:tc>
          <w:tcPr>
            <w:tcW w:w="514" w:type="dxa"/>
            <w:tcBorders>
              <w:bottom w:val="single" w:sz="4" w:space="0" w:color="auto"/>
            </w:tcBorders>
            <w:vAlign w:val="center"/>
          </w:tcPr>
          <w:p w14:paraId="7C532B7B"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645" w:type="dxa"/>
            <w:tcBorders>
              <w:bottom w:val="single" w:sz="4" w:space="0" w:color="auto"/>
            </w:tcBorders>
            <w:vAlign w:val="center"/>
          </w:tcPr>
          <w:p w14:paraId="1DB81442"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144</w:t>
            </w:r>
          </w:p>
        </w:tc>
        <w:tc>
          <w:tcPr>
            <w:tcW w:w="380" w:type="dxa"/>
            <w:tcBorders>
              <w:bottom w:val="single" w:sz="4" w:space="0" w:color="auto"/>
            </w:tcBorders>
            <w:vAlign w:val="center"/>
          </w:tcPr>
          <w:p w14:paraId="39EDE425"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c>
          <w:tcPr>
            <w:tcW w:w="718" w:type="dxa"/>
            <w:tcBorders>
              <w:bottom w:val="single" w:sz="4" w:space="0" w:color="auto"/>
            </w:tcBorders>
            <w:vAlign w:val="center"/>
          </w:tcPr>
          <w:p w14:paraId="765633CF" w14:textId="77777777" w:rsidR="00BE21FF" w:rsidRPr="001E4794" w:rsidRDefault="00BE21FF" w:rsidP="00D428F4">
            <w:pPr>
              <w:widowControl/>
              <w:spacing w:line="240" w:lineRule="auto"/>
              <w:ind w:left="-57" w:right="-57" w:firstLine="0"/>
              <w:jc w:val="right"/>
              <w:rPr>
                <w:rFonts w:ascii="Arial" w:hAnsi="Arial" w:cs="Arial"/>
                <w:color w:val="000000"/>
                <w:sz w:val="14"/>
                <w:szCs w:val="14"/>
              </w:rPr>
            </w:pPr>
            <w:r w:rsidRPr="001E4794">
              <w:rPr>
                <w:rFonts w:ascii="Arial" w:eastAsia="Calibri" w:hAnsi="Arial" w:cs="Arial"/>
                <w:color w:val="000000"/>
                <w:sz w:val="14"/>
                <w:szCs w:val="14"/>
                <w:lang w:eastAsia="en-US"/>
              </w:rPr>
              <w:t>68</w:t>
            </w:r>
          </w:p>
        </w:tc>
        <w:tc>
          <w:tcPr>
            <w:tcW w:w="380" w:type="dxa"/>
            <w:tcBorders>
              <w:bottom w:val="single" w:sz="4" w:space="0" w:color="auto"/>
            </w:tcBorders>
            <w:vAlign w:val="center"/>
          </w:tcPr>
          <w:p w14:paraId="640E7A44" w14:textId="77777777" w:rsidR="00BE21FF" w:rsidRPr="001E4794" w:rsidRDefault="00BE21FF" w:rsidP="00D428F4">
            <w:pPr>
              <w:widowControl/>
              <w:spacing w:line="240" w:lineRule="auto"/>
              <w:ind w:left="-57" w:right="-57" w:firstLine="0"/>
              <w:jc w:val="left"/>
              <w:rPr>
                <w:rFonts w:ascii="Arial" w:hAnsi="Arial" w:cs="Arial"/>
                <w:color w:val="000000"/>
                <w:sz w:val="14"/>
                <w:szCs w:val="14"/>
              </w:rPr>
            </w:pPr>
          </w:p>
        </w:tc>
      </w:tr>
    </w:tbl>
    <w:p w14:paraId="28349B14" w14:textId="77777777" w:rsidR="00BE21FF" w:rsidRPr="001E4794" w:rsidRDefault="00BE21FF" w:rsidP="00BE21FF">
      <w:pPr>
        <w:keepNext/>
        <w:keepLines/>
        <w:widowControl/>
        <w:spacing w:before="40" w:after="240" w:line="240" w:lineRule="auto"/>
        <w:outlineLvl w:val="2"/>
        <w:rPr>
          <w:rFonts w:ascii="Arial" w:hAnsi="Arial" w:cs="Arial"/>
          <w:bCs/>
          <w:sz w:val="14"/>
          <w:szCs w:val="14"/>
          <w:lang w:eastAsia="en-US"/>
        </w:rPr>
      </w:pPr>
      <w:r w:rsidRPr="001E4794">
        <w:rPr>
          <w:rFonts w:ascii="Arial" w:eastAsia="Calibri" w:hAnsi="Arial" w:cs="Arial"/>
          <w:sz w:val="14"/>
          <w:szCs w:val="14"/>
          <w:lang w:eastAsia="en-US"/>
        </w:rPr>
        <w:t xml:space="preserve">Análise de regressão com modelagem </w:t>
      </w:r>
      <w:r w:rsidRPr="001E4794">
        <w:rPr>
          <w:rFonts w:ascii="Arial" w:eastAsia="Calibri" w:hAnsi="Arial" w:cs="Arial"/>
          <w:i/>
          <w:sz w:val="14"/>
          <w:szCs w:val="14"/>
          <w:lang w:eastAsia="en-US"/>
        </w:rPr>
        <w:t>Feasible Generalized Least Squares</w:t>
      </w:r>
      <w:r w:rsidRPr="001E4794">
        <w:rPr>
          <w:rFonts w:ascii="Arial" w:eastAsia="Calibri" w:hAnsi="Arial" w:cs="Arial"/>
          <w:sz w:val="14"/>
          <w:szCs w:val="14"/>
          <w:lang w:eastAsia="en-US"/>
        </w:rPr>
        <w:t xml:space="preserve">. </w:t>
      </w:r>
      <w:r w:rsidRPr="001E4794">
        <w:rPr>
          <w:rFonts w:ascii="Arial" w:eastAsia="Calibri" w:hAnsi="Arial" w:cs="Arial"/>
          <w:b/>
          <w:sz w:val="14"/>
          <w:szCs w:val="14"/>
          <w:lang w:eastAsia="en-US"/>
        </w:rPr>
        <w:t>Amostras:</w:t>
      </w:r>
      <w:r w:rsidRPr="001E4794">
        <w:rPr>
          <w:rFonts w:ascii="Arial" w:eastAsia="Calibri" w:hAnsi="Arial" w:cs="Arial"/>
          <w:sz w:val="14"/>
          <w:szCs w:val="14"/>
          <w:lang w:eastAsia="en-US"/>
        </w:rPr>
        <w:t xml:space="preserve"> empresas listadas na B</w:t>
      </w:r>
      <w:r w:rsidRPr="001E4794">
        <w:rPr>
          <w:rFonts w:ascii="Arial" w:eastAsia="Calibri" w:hAnsi="Arial" w:cs="Arial"/>
          <w:sz w:val="14"/>
          <w:szCs w:val="14"/>
          <w:vertAlign w:val="superscript"/>
          <w:lang w:eastAsia="en-US"/>
        </w:rPr>
        <w:t>3</w:t>
      </w:r>
      <w:r w:rsidRPr="001E4794">
        <w:rPr>
          <w:rFonts w:ascii="Arial" w:eastAsia="Calibri" w:hAnsi="Arial" w:cs="Arial"/>
          <w:sz w:val="14"/>
          <w:szCs w:val="14"/>
          <w:lang w:eastAsia="en-US"/>
        </w:rPr>
        <w:t xml:space="preserve"> no período de 2018 a 2020 com controle disperso (DISP), compartilhado (COMP), familiar (FAM), empresarial (EMP) e governamental (GOV). </w:t>
      </w:r>
      <w:r w:rsidRPr="001E4794">
        <w:rPr>
          <w:rFonts w:ascii="Arial" w:eastAsia="Calibri" w:hAnsi="Arial" w:cs="Arial"/>
          <w:b/>
          <w:sz w:val="14"/>
          <w:szCs w:val="14"/>
          <w:lang w:eastAsia="en-US"/>
        </w:rPr>
        <w:t>Variável dependente:</w:t>
      </w:r>
      <w:r w:rsidRPr="001E4794">
        <w:rPr>
          <w:rFonts w:ascii="Arial" w:eastAsia="Calibri" w:hAnsi="Arial" w:cs="Arial"/>
          <w:sz w:val="14"/>
          <w:szCs w:val="14"/>
          <w:lang w:eastAsia="en-US"/>
        </w:rPr>
        <w:t xml:space="preserve"> </w:t>
      </w:r>
      <w:r w:rsidRPr="001E4794">
        <w:rPr>
          <w:rFonts w:ascii="Arial" w:eastAsia="Calibri" w:hAnsi="Arial" w:cs="Arial"/>
          <w:i/>
          <w:sz w:val="14"/>
          <w:szCs w:val="14"/>
          <w:lang w:eastAsia="en-US"/>
        </w:rPr>
        <w:t xml:space="preserve">Market-to-book </w:t>
      </w:r>
      <w:r w:rsidRPr="001E4794">
        <w:rPr>
          <w:rFonts w:ascii="Arial" w:eastAsia="Calibri" w:hAnsi="Arial" w:cs="Arial"/>
          <w:sz w:val="14"/>
          <w:szCs w:val="14"/>
          <w:lang w:eastAsia="en-US"/>
        </w:rPr>
        <w:t xml:space="preserve">(MB). </w:t>
      </w:r>
      <w:r w:rsidRPr="001E4794">
        <w:rPr>
          <w:rFonts w:ascii="Arial" w:eastAsia="Calibri" w:hAnsi="Arial" w:cs="Arial"/>
          <w:b/>
          <w:sz w:val="14"/>
          <w:szCs w:val="14"/>
          <w:lang w:eastAsia="en-US"/>
        </w:rPr>
        <w:t xml:space="preserve">Variáveis explicativas de interesse (características da administração mensuradas por escores fatoriais): </w:t>
      </w:r>
      <w:r w:rsidRPr="001E4794">
        <w:rPr>
          <w:rFonts w:ascii="Arial" w:eastAsia="Calibri" w:hAnsi="Arial" w:cs="Arial"/>
          <w:sz w:val="14"/>
          <w:szCs w:val="14"/>
          <w:lang w:eastAsia="en-US"/>
        </w:rPr>
        <w:t xml:space="preserve">Remuneração da diretoria executiva (REMDE); Independência dos administradores (INDEP); Avaliação dos administradores (AVAL); Separação entre órgãos da administração (SEPCADE); Remuneração do conselho de administração (REMCA). </w:t>
      </w:r>
      <w:r w:rsidRPr="001E4794">
        <w:rPr>
          <w:rFonts w:ascii="Arial" w:eastAsia="Calibri" w:hAnsi="Arial" w:cs="Arial"/>
          <w:b/>
          <w:sz w:val="14"/>
          <w:szCs w:val="14"/>
          <w:lang w:eastAsia="en-US"/>
        </w:rPr>
        <w:t>Variáveis de controle:</w:t>
      </w:r>
      <w:r w:rsidRPr="001E4794">
        <w:rPr>
          <w:rFonts w:ascii="Arial" w:eastAsia="Calibri" w:hAnsi="Arial" w:cs="Arial"/>
          <w:sz w:val="14"/>
          <w:szCs w:val="14"/>
          <w:lang w:eastAsia="en-US"/>
        </w:rPr>
        <w:t xml:space="preserve"> Tamanho (TAM); Retorno sobre patrimônio líquido (ROE); variáveis binárias indicativas do setor de atividade (SETOR) e do ano da observação (ANO), cujos coeficientes não foram reportados. </w:t>
      </w:r>
      <w:r w:rsidRPr="001E4794">
        <w:rPr>
          <w:rFonts w:ascii="Arial" w:eastAsia="Calibri" w:hAnsi="Arial" w:cs="Arial"/>
          <w:b/>
          <w:bCs/>
          <w:sz w:val="14"/>
          <w:szCs w:val="14"/>
          <w:lang w:eastAsia="en-US"/>
        </w:rPr>
        <w:t>VIF:</w:t>
      </w:r>
      <w:r w:rsidRPr="001E4794">
        <w:rPr>
          <w:rFonts w:ascii="Arial" w:eastAsia="Calibri" w:hAnsi="Arial" w:cs="Arial"/>
          <w:sz w:val="14"/>
          <w:szCs w:val="14"/>
          <w:lang w:eastAsia="en-US"/>
        </w:rPr>
        <w:t xml:space="preserve"> Fator de inflação da variância médio das variáveis explicativas.  </w:t>
      </w:r>
      <w:r w:rsidRPr="001E4794">
        <w:rPr>
          <w:rFonts w:ascii="Arial" w:eastAsia="Calibri" w:hAnsi="Arial" w:cs="Arial"/>
          <w:b/>
          <w:sz w:val="14"/>
          <w:szCs w:val="14"/>
          <w:lang w:eastAsia="en-US"/>
        </w:rPr>
        <w:t xml:space="preserve">Significância estatística: </w:t>
      </w:r>
      <w:r w:rsidRPr="001E4794">
        <w:rPr>
          <w:rFonts w:ascii="Arial" w:eastAsia="Calibri" w:hAnsi="Arial" w:cs="Arial"/>
          <w:sz w:val="14"/>
          <w:szCs w:val="14"/>
          <w:lang w:eastAsia="en-US"/>
        </w:rPr>
        <w:t>p-valor menor do que 10% (*), 5% (**) e 1% (***).</w:t>
      </w:r>
    </w:p>
    <w:p w14:paraId="052E0A70" w14:textId="77777777" w:rsidR="00BE21FF" w:rsidRPr="001E4794" w:rsidRDefault="00BE21FF" w:rsidP="00BE21FF">
      <w:pPr>
        <w:keepNext/>
        <w:keepLines/>
        <w:widowControl/>
        <w:spacing w:line="240" w:lineRule="auto"/>
        <w:outlineLvl w:val="2"/>
        <w:rPr>
          <w:rFonts w:ascii="Arial" w:hAnsi="Arial" w:cs="Arial"/>
          <w:b/>
          <w:sz w:val="18"/>
          <w:szCs w:val="18"/>
          <w:lang w:eastAsia="en-US"/>
        </w:rPr>
      </w:pPr>
      <w:r w:rsidRPr="001E4794">
        <w:rPr>
          <w:rFonts w:ascii="Arial" w:hAnsi="Arial" w:cs="Arial"/>
          <w:b/>
          <w:sz w:val="18"/>
          <w:szCs w:val="18"/>
          <w:lang w:eastAsia="en-US"/>
        </w:rPr>
        <w:t>Tabela 10</w:t>
      </w:r>
    </w:p>
    <w:p w14:paraId="525318B1" w14:textId="4B1365A9" w:rsidR="00BE21FF" w:rsidRPr="001E4794" w:rsidRDefault="00BE21FF" w:rsidP="00BE21FF">
      <w:pPr>
        <w:keepNext/>
        <w:keepLines/>
        <w:widowControl/>
        <w:spacing w:line="240" w:lineRule="auto"/>
        <w:outlineLvl w:val="2"/>
        <w:rPr>
          <w:rFonts w:ascii="Arial" w:eastAsia="Calibri" w:hAnsi="Arial" w:cs="Arial"/>
          <w:spacing w:val="-4"/>
          <w:sz w:val="18"/>
          <w:szCs w:val="18"/>
          <w:lang w:eastAsia="x-none"/>
        </w:rPr>
      </w:pPr>
      <w:r w:rsidRPr="001E4794">
        <w:rPr>
          <w:rFonts w:ascii="Arial" w:hAnsi="Arial" w:cs="Arial"/>
          <w:bCs/>
          <w:spacing w:val="-4"/>
          <w:sz w:val="18"/>
          <w:szCs w:val="18"/>
          <w:lang w:eastAsia="en-US"/>
        </w:rPr>
        <w:t>Características da administração e valor da empresa por tipo de controle acionário (</w:t>
      </w:r>
      <w:r w:rsidR="007B7786" w:rsidRPr="001E4794">
        <w:rPr>
          <w:rFonts w:ascii="Arial" w:hAnsi="Arial" w:cs="Arial"/>
          <w:bCs/>
          <w:spacing w:val="-4"/>
          <w:sz w:val="18"/>
          <w:szCs w:val="18"/>
          <w:lang w:eastAsia="en-US"/>
        </w:rPr>
        <w:t>escalas</w:t>
      </w:r>
      <w:r w:rsidRPr="001E4794">
        <w:rPr>
          <w:rFonts w:ascii="Arial" w:hAnsi="Arial" w:cs="Arial"/>
          <w:bCs/>
          <w:spacing w:val="-4"/>
          <w:sz w:val="18"/>
          <w:szCs w:val="18"/>
          <w:lang w:eastAsia="en-US"/>
        </w:rPr>
        <w:t xml:space="preserve"> múltiplas)</w:t>
      </w:r>
      <w:r w:rsidR="003448C6" w:rsidRPr="001E4794">
        <w:rPr>
          <w:rFonts w:ascii="Arial" w:hAnsi="Arial" w:cs="Arial"/>
          <w:bCs/>
          <w:spacing w:val="-4"/>
          <w:sz w:val="18"/>
          <w:szCs w:val="18"/>
          <w:lang w:eastAsia="en-US"/>
        </w:rPr>
        <w:t>.</w:t>
      </w:r>
    </w:p>
    <w:tbl>
      <w:tblPr>
        <w:tblW w:w="8321" w:type="dxa"/>
        <w:jc w:val="center"/>
        <w:tblLayout w:type="fixed"/>
        <w:tblCellMar>
          <w:left w:w="70" w:type="dxa"/>
          <w:right w:w="70" w:type="dxa"/>
        </w:tblCellMar>
        <w:tblLook w:val="04A0" w:firstRow="1" w:lastRow="0" w:firstColumn="1" w:lastColumn="0" w:noHBand="0" w:noVBand="1"/>
      </w:tblPr>
      <w:tblGrid>
        <w:gridCol w:w="993"/>
        <w:gridCol w:w="610"/>
        <w:gridCol w:w="610"/>
        <w:gridCol w:w="610"/>
        <w:gridCol w:w="610"/>
        <w:gridCol w:w="611"/>
        <w:gridCol w:w="611"/>
        <w:gridCol w:w="611"/>
        <w:gridCol w:w="611"/>
        <w:gridCol w:w="611"/>
        <w:gridCol w:w="611"/>
        <w:gridCol w:w="611"/>
        <w:gridCol w:w="611"/>
      </w:tblGrid>
      <w:tr w:rsidR="00AA220A" w:rsidRPr="001E4794" w14:paraId="4538C39E" w14:textId="77777777" w:rsidTr="007B7786">
        <w:trPr>
          <w:trHeight w:val="20"/>
          <w:jc w:val="center"/>
        </w:trPr>
        <w:tc>
          <w:tcPr>
            <w:tcW w:w="993" w:type="dxa"/>
            <w:vMerge w:val="restart"/>
            <w:tcBorders>
              <w:top w:val="single" w:sz="4" w:space="0" w:color="auto"/>
              <w:left w:val="nil"/>
              <w:right w:val="nil"/>
            </w:tcBorders>
            <w:shd w:val="clear" w:color="auto" w:fill="auto"/>
            <w:noWrap/>
            <w:vAlign w:val="center"/>
          </w:tcPr>
          <w:p w14:paraId="58E72C5F" w14:textId="4BD7B637" w:rsidR="00AA220A" w:rsidRPr="001E4794" w:rsidRDefault="00AA220A" w:rsidP="00927FED">
            <w:pPr>
              <w:widowControl/>
              <w:spacing w:line="240" w:lineRule="auto"/>
              <w:rPr>
                <w:rFonts w:ascii="Arial" w:eastAsia="Calibri" w:hAnsi="Arial" w:cs="Arial"/>
                <w:b/>
                <w:bCs/>
                <w:sz w:val="14"/>
                <w:szCs w:val="14"/>
                <w:lang w:eastAsia="x-none"/>
              </w:rPr>
            </w:pPr>
            <w:r w:rsidRPr="001E4794">
              <w:rPr>
                <w:rFonts w:ascii="Arial" w:eastAsia="Calibri" w:hAnsi="Arial" w:cs="Arial"/>
                <w:b/>
                <w:bCs/>
                <w:sz w:val="14"/>
                <w:szCs w:val="14"/>
                <w:lang w:eastAsia="x-none"/>
              </w:rPr>
              <w:t>Variáveis explicativa</w:t>
            </w:r>
          </w:p>
        </w:tc>
        <w:tc>
          <w:tcPr>
            <w:tcW w:w="7328" w:type="dxa"/>
            <w:gridSpan w:val="12"/>
            <w:tcBorders>
              <w:top w:val="single" w:sz="4" w:space="0" w:color="auto"/>
              <w:left w:val="nil"/>
              <w:bottom w:val="single" w:sz="4" w:space="0" w:color="auto"/>
              <w:right w:val="nil"/>
            </w:tcBorders>
            <w:shd w:val="clear" w:color="auto" w:fill="auto"/>
            <w:noWrap/>
            <w:vAlign w:val="center"/>
          </w:tcPr>
          <w:p w14:paraId="379E0BD5" w14:textId="77777777" w:rsidR="00AA220A" w:rsidRPr="001E4794" w:rsidRDefault="00AA220A" w:rsidP="00AA220A">
            <w:pPr>
              <w:widowControl/>
              <w:spacing w:line="240" w:lineRule="auto"/>
              <w:jc w:val="center"/>
              <w:rPr>
                <w:rFonts w:ascii="Arial" w:eastAsia="Calibri" w:hAnsi="Arial" w:cs="Arial"/>
                <w:b/>
                <w:bCs/>
                <w:sz w:val="14"/>
                <w:szCs w:val="14"/>
                <w:lang w:val="en-US" w:eastAsia="x-none"/>
              </w:rPr>
            </w:pPr>
            <w:r w:rsidRPr="001E4794">
              <w:rPr>
                <w:rFonts w:ascii="Arial" w:eastAsia="Calibri" w:hAnsi="Arial" w:cs="Arial"/>
                <w:b/>
                <w:bCs/>
                <w:sz w:val="14"/>
                <w:szCs w:val="14"/>
                <w:lang w:val="en-US" w:eastAsia="x-none"/>
              </w:rPr>
              <w:t xml:space="preserve">Variável dependente: </w:t>
            </w:r>
            <w:r w:rsidRPr="001E4794">
              <w:rPr>
                <w:rFonts w:ascii="Arial" w:eastAsia="Calibri" w:hAnsi="Arial" w:cs="Arial"/>
                <w:b/>
                <w:bCs/>
                <w:i/>
                <w:sz w:val="14"/>
                <w:szCs w:val="14"/>
                <w:lang w:val="en-US" w:eastAsia="x-none"/>
              </w:rPr>
              <w:t>Market-to-book</w:t>
            </w:r>
            <w:r w:rsidRPr="001E4794">
              <w:rPr>
                <w:rFonts w:ascii="Arial" w:eastAsia="Calibri" w:hAnsi="Arial" w:cs="Arial"/>
                <w:b/>
                <w:bCs/>
                <w:sz w:val="14"/>
                <w:szCs w:val="14"/>
                <w:lang w:val="en-US" w:eastAsia="x-none"/>
              </w:rPr>
              <w:t xml:space="preserve"> (MB)</w:t>
            </w:r>
          </w:p>
        </w:tc>
      </w:tr>
      <w:tr w:rsidR="00AA220A" w:rsidRPr="001E4794" w14:paraId="495A4F12" w14:textId="77777777" w:rsidTr="007B7786">
        <w:trPr>
          <w:trHeight w:val="20"/>
          <w:jc w:val="center"/>
        </w:trPr>
        <w:tc>
          <w:tcPr>
            <w:tcW w:w="993" w:type="dxa"/>
            <w:vMerge/>
            <w:tcBorders>
              <w:left w:val="nil"/>
              <w:bottom w:val="single" w:sz="4" w:space="0" w:color="auto"/>
              <w:right w:val="nil"/>
            </w:tcBorders>
            <w:shd w:val="clear" w:color="auto" w:fill="auto"/>
            <w:noWrap/>
            <w:vAlign w:val="center"/>
          </w:tcPr>
          <w:p w14:paraId="2DB56B0D" w14:textId="77777777" w:rsidR="00AA220A" w:rsidRPr="001E4794" w:rsidRDefault="00AA220A" w:rsidP="00AA220A">
            <w:pPr>
              <w:widowControl/>
              <w:spacing w:line="240" w:lineRule="auto"/>
              <w:rPr>
                <w:rFonts w:ascii="Arial" w:eastAsia="Calibri" w:hAnsi="Arial" w:cs="Arial"/>
                <w:b/>
                <w:bCs/>
                <w:sz w:val="14"/>
                <w:szCs w:val="14"/>
                <w:lang w:val="en-US" w:eastAsia="x-none"/>
              </w:rPr>
            </w:pPr>
          </w:p>
        </w:tc>
        <w:tc>
          <w:tcPr>
            <w:tcW w:w="7328" w:type="dxa"/>
            <w:gridSpan w:val="12"/>
            <w:tcBorders>
              <w:top w:val="single" w:sz="4" w:space="0" w:color="auto"/>
              <w:left w:val="nil"/>
              <w:right w:val="nil"/>
            </w:tcBorders>
            <w:shd w:val="clear" w:color="auto" w:fill="auto"/>
            <w:noWrap/>
            <w:vAlign w:val="center"/>
          </w:tcPr>
          <w:p w14:paraId="23D8A5B8"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Amostra:</w:t>
            </w:r>
          </w:p>
        </w:tc>
      </w:tr>
      <w:tr w:rsidR="00AA220A" w:rsidRPr="001E4794" w14:paraId="09A02447" w14:textId="77777777" w:rsidTr="007B7786">
        <w:trPr>
          <w:trHeight w:val="20"/>
          <w:jc w:val="center"/>
        </w:trPr>
        <w:tc>
          <w:tcPr>
            <w:tcW w:w="993" w:type="dxa"/>
            <w:vMerge/>
            <w:tcBorders>
              <w:left w:val="nil"/>
              <w:bottom w:val="single" w:sz="4" w:space="0" w:color="auto"/>
              <w:right w:val="nil"/>
            </w:tcBorders>
            <w:shd w:val="clear" w:color="auto" w:fill="auto"/>
            <w:noWrap/>
            <w:vAlign w:val="center"/>
            <w:hideMark/>
          </w:tcPr>
          <w:p w14:paraId="28984D77" w14:textId="77777777" w:rsidR="00AA220A" w:rsidRPr="001E4794" w:rsidRDefault="00AA220A" w:rsidP="00AA220A">
            <w:pPr>
              <w:widowControl/>
              <w:spacing w:line="240" w:lineRule="auto"/>
              <w:rPr>
                <w:rFonts w:ascii="Arial" w:eastAsia="Calibri" w:hAnsi="Arial" w:cs="Arial"/>
                <w:b/>
                <w:bCs/>
                <w:sz w:val="14"/>
                <w:szCs w:val="14"/>
                <w:lang w:val="en-US" w:eastAsia="x-none"/>
              </w:rPr>
            </w:pPr>
          </w:p>
        </w:tc>
        <w:tc>
          <w:tcPr>
            <w:tcW w:w="1220" w:type="dxa"/>
            <w:gridSpan w:val="2"/>
            <w:tcBorders>
              <w:left w:val="nil"/>
              <w:bottom w:val="single" w:sz="4" w:space="0" w:color="auto"/>
              <w:right w:val="nil"/>
            </w:tcBorders>
            <w:shd w:val="clear" w:color="auto" w:fill="auto"/>
            <w:noWrap/>
            <w:vAlign w:val="center"/>
            <w:hideMark/>
          </w:tcPr>
          <w:p w14:paraId="75E0A598"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Amostra total</w:t>
            </w:r>
          </w:p>
        </w:tc>
        <w:tc>
          <w:tcPr>
            <w:tcW w:w="1220" w:type="dxa"/>
            <w:gridSpan w:val="2"/>
            <w:tcBorders>
              <w:left w:val="nil"/>
              <w:bottom w:val="single" w:sz="4" w:space="0" w:color="auto"/>
              <w:right w:val="nil"/>
            </w:tcBorders>
            <w:shd w:val="clear" w:color="auto" w:fill="auto"/>
            <w:noWrap/>
            <w:vAlign w:val="center"/>
            <w:hideMark/>
          </w:tcPr>
          <w:p w14:paraId="463DB07B"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DISP</w:t>
            </w:r>
          </w:p>
        </w:tc>
        <w:tc>
          <w:tcPr>
            <w:tcW w:w="1222" w:type="dxa"/>
            <w:gridSpan w:val="2"/>
            <w:tcBorders>
              <w:left w:val="nil"/>
              <w:bottom w:val="single" w:sz="4" w:space="0" w:color="auto"/>
              <w:right w:val="nil"/>
            </w:tcBorders>
            <w:shd w:val="clear" w:color="auto" w:fill="auto"/>
            <w:noWrap/>
            <w:vAlign w:val="center"/>
            <w:hideMark/>
          </w:tcPr>
          <w:p w14:paraId="47A826B1"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COMP</w:t>
            </w:r>
          </w:p>
        </w:tc>
        <w:tc>
          <w:tcPr>
            <w:tcW w:w="1222" w:type="dxa"/>
            <w:gridSpan w:val="2"/>
            <w:tcBorders>
              <w:left w:val="nil"/>
              <w:bottom w:val="single" w:sz="4" w:space="0" w:color="auto"/>
              <w:right w:val="nil"/>
            </w:tcBorders>
            <w:shd w:val="clear" w:color="auto" w:fill="auto"/>
            <w:noWrap/>
            <w:vAlign w:val="center"/>
            <w:hideMark/>
          </w:tcPr>
          <w:p w14:paraId="18E11D22"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FAM</w:t>
            </w:r>
          </w:p>
        </w:tc>
        <w:tc>
          <w:tcPr>
            <w:tcW w:w="1222" w:type="dxa"/>
            <w:gridSpan w:val="2"/>
            <w:tcBorders>
              <w:left w:val="nil"/>
              <w:bottom w:val="single" w:sz="4" w:space="0" w:color="auto"/>
              <w:right w:val="nil"/>
            </w:tcBorders>
            <w:shd w:val="clear" w:color="auto" w:fill="auto"/>
            <w:noWrap/>
            <w:vAlign w:val="center"/>
            <w:hideMark/>
          </w:tcPr>
          <w:p w14:paraId="0F276A1C"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EMP</w:t>
            </w:r>
          </w:p>
        </w:tc>
        <w:tc>
          <w:tcPr>
            <w:tcW w:w="1222" w:type="dxa"/>
            <w:gridSpan w:val="2"/>
            <w:tcBorders>
              <w:left w:val="nil"/>
              <w:bottom w:val="single" w:sz="4" w:space="0" w:color="auto"/>
              <w:right w:val="nil"/>
            </w:tcBorders>
            <w:shd w:val="clear" w:color="auto" w:fill="auto"/>
            <w:noWrap/>
            <w:vAlign w:val="center"/>
            <w:hideMark/>
          </w:tcPr>
          <w:p w14:paraId="761E75F5" w14:textId="77777777" w:rsidR="00AA220A" w:rsidRPr="001E4794" w:rsidRDefault="00AA220A" w:rsidP="00AA220A">
            <w:pPr>
              <w:widowControl/>
              <w:spacing w:line="240" w:lineRule="auto"/>
              <w:jc w:val="center"/>
              <w:rPr>
                <w:rFonts w:ascii="Arial" w:eastAsia="Calibri" w:hAnsi="Arial" w:cs="Arial"/>
                <w:b/>
                <w:bCs/>
                <w:sz w:val="14"/>
                <w:szCs w:val="14"/>
                <w:lang w:eastAsia="x-none"/>
              </w:rPr>
            </w:pPr>
            <w:r w:rsidRPr="001E4794">
              <w:rPr>
                <w:rFonts w:ascii="Arial" w:eastAsia="Calibri" w:hAnsi="Arial" w:cs="Arial"/>
                <w:b/>
                <w:bCs/>
                <w:sz w:val="14"/>
                <w:szCs w:val="14"/>
                <w:lang w:eastAsia="x-none"/>
              </w:rPr>
              <w:t>GOV</w:t>
            </w:r>
          </w:p>
        </w:tc>
      </w:tr>
      <w:tr w:rsidR="00AA220A" w:rsidRPr="001E4794" w14:paraId="6D7C7743"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5F9C7D66"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REMDE</w:t>
            </w:r>
          </w:p>
        </w:tc>
        <w:tc>
          <w:tcPr>
            <w:tcW w:w="610" w:type="dxa"/>
            <w:tcBorders>
              <w:top w:val="nil"/>
              <w:left w:val="nil"/>
              <w:bottom w:val="nil"/>
              <w:right w:val="nil"/>
            </w:tcBorders>
            <w:shd w:val="clear" w:color="auto" w:fill="auto"/>
            <w:noWrap/>
            <w:vAlign w:val="center"/>
            <w:hideMark/>
          </w:tcPr>
          <w:p w14:paraId="1183A87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0,904</w:t>
            </w:r>
          </w:p>
        </w:tc>
        <w:tc>
          <w:tcPr>
            <w:tcW w:w="610" w:type="dxa"/>
            <w:tcBorders>
              <w:top w:val="nil"/>
              <w:left w:val="nil"/>
              <w:bottom w:val="nil"/>
              <w:right w:val="nil"/>
            </w:tcBorders>
            <w:shd w:val="clear" w:color="auto" w:fill="auto"/>
            <w:noWrap/>
            <w:vAlign w:val="center"/>
            <w:hideMark/>
          </w:tcPr>
          <w:p w14:paraId="02E1D098"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0" w:type="dxa"/>
            <w:tcBorders>
              <w:top w:val="nil"/>
              <w:left w:val="nil"/>
              <w:bottom w:val="nil"/>
              <w:right w:val="nil"/>
            </w:tcBorders>
            <w:shd w:val="clear" w:color="auto" w:fill="auto"/>
            <w:noWrap/>
            <w:vAlign w:val="center"/>
            <w:hideMark/>
          </w:tcPr>
          <w:p w14:paraId="2C0C0D0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-1,284</w:t>
            </w:r>
          </w:p>
        </w:tc>
        <w:tc>
          <w:tcPr>
            <w:tcW w:w="610" w:type="dxa"/>
            <w:tcBorders>
              <w:top w:val="nil"/>
              <w:left w:val="nil"/>
              <w:bottom w:val="nil"/>
              <w:right w:val="nil"/>
            </w:tcBorders>
            <w:shd w:val="clear" w:color="auto" w:fill="auto"/>
            <w:noWrap/>
            <w:vAlign w:val="center"/>
            <w:hideMark/>
          </w:tcPr>
          <w:p w14:paraId="655C3C5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1E83463F"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2,492</w:t>
            </w:r>
          </w:p>
        </w:tc>
        <w:tc>
          <w:tcPr>
            <w:tcW w:w="611" w:type="dxa"/>
            <w:tcBorders>
              <w:top w:val="nil"/>
              <w:left w:val="nil"/>
              <w:bottom w:val="nil"/>
              <w:right w:val="nil"/>
            </w:tcBorders>
            <w:shd w:val="clear" w:color="auto" w:fill="auto"/>
            <w:noWrap/>
            <w:vAlign w:val="center"/>
            <w:hideMark/>
          </w:tcPr>
          <w:p w14:paraId="2D2AAFA9"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59A1B8E4"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0,664</w:t>
            </w:r>
          </w:p>
        </w:tc>
        <w:tc>
          <w:tcPr>
            <w:tcW w:w="611" w:type="dxa"/>
            <w:tcBorders>
              <w:top w:val="nil"/>
              <w:left w:val="nil"/>
              <w:bottom w:val="nil"/>
              <w:right w:val="nil"/>
            </w:tcBorders>
            <w:shd w:val="clear" w:color="auto" w:fill="auto"/>
            <w:noWrap/>
            <w:vAlign w:val="center"/>
            <w:hideMark/>
          </w:tcPr>
          <w:p w14:paraId="2C3EDC25"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02903EB4"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0,294</w:t>
            </w:r>
          </w:p>
        </w:tc>
        <w:tc>
          <w:tcPr>
            <w:tcW w:w="611" w:type="dxa"/>
            <w:tcBorders>
              <w:top w:val="nil"/>
              <w:left w:val="nil"/>
              <w:bottom w:val="nil"/>
              <w:right w:val="nil"/>
            </w:tcBorders>
            <w:shd w:val="clear" w:color="auto" w:fill="auto"/>
            <w:noWrap/>
            <w:vAlign w:val="center"/>
            <w:hideMark/>
          </w:tcPr>
          <w:p w14:paraId="72C228E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1DA7F186"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1,167</w:t>
            </w:r>
          </w:p>
        </w:tc>
        <w:tc>
          <w:tcPr>
            <w:tcW w:w="611" w:type="dxa"/>
            <w:tcBorders>
              <w:top w:val="nil"/>
              <w:left w:val="nil"/>
              <w:bottom w:val="nil"/>
              <w:right w:val="nil"/>
            </w:tcBorders>
            <w:shd w:val="clear" w:color="auto" w:fill="auto"/>
            <w:noWrap/>
            <w:vAlign w:val="center"/>
            <w:hideMark/>
          </w:tcPr>
          <w:p w14:paraId="4EE976B9"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r>
      <w:tr w:rsidR="00AA220A" w:rsidRPr="001E4794" w14:paraId="0C4CD7BF"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5AF8404C"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00C7804D"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(0,280)</w:t>
            </w:r>
          </w:p>
        </w:tc>
        <w:tc>
          <w:tcPr>
            <w:tcW w:w="1220" w:type="dxa"/>
            <w:gridSpan w:val="2"/>
            <w:tcBorders>
              <w:top w:val="nil"/>
              <w:left w:val="nil"/>
              <w:bottom w:val="nil"/>
              <w:right w:val="nil"/>
            </w:tcBorders>
            <w:shd w:val="clear" w:color="auto" w:fill="auto"/>
            <w:noWrap/>
            <w:vAlign w:val="center"/>
            <w:hideMark/>
          </w:tcPr>
          <w:p w14:paraId="0091B18A"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(0,770)</w:t>
            </w:r>
          </w:p>
        </w:tc>
        <w:tc>
          <w:tcPr>
            <w:tcW w:w="1222" w:type="dxa"/>
            <w:gridSpan w:val="2"/>
            <w:tcBorders>
              <w:top w:val="nil"/>
              <w:left w:val="nil"/>
              <w:bottom w:val="nil"/>
              <w:right w:val="nil"/>
            </w:tcBorders>
            <w:shd w:val="clear" w:color="auto" w:fill="auto"/>
            <w:noWrap/>
            <w:vAlign w:val="center"/>
            <w:hideMark/>
          </w:tcPr>
          <w:p w14:paraId="7054AB03"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(0,653)</w:t>
            </w:r>
          </w:p>
        </w:tc>
        <w:tc>
          <w:tcPr>
            <w:tcW w:w="1222" w:type="dxa"/>
            <w:gridSpan w:val="2"/>
            <w:tcBorders>
              <w:top w:val="nil"/>
              <w:left w:val="nil"/>
              <w:bottom w:val="nil"/>
              <w:right w:val="nil"/>
            </w:tcBorders>
            <w:shd w:val="clear" w:color="auto" w:fill="auto"/>
            <w:noWrap/>
            <w:vAlign w:val="center"/>
            <w:hideMark/>
          </w:tcPr>
          <w:p w14:paraId="7B317A0C"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(0,427)</w:t>
            </w:r>
          </w:p>
        </w:tc>
        <w:tc>
          <w:tcPr>
            <w:tcW w:w="1222" w:type="dxa"/>
            <w:gridSpan w:val="2"/>
            <w:tcBorders>
              <w:top w:val="nil"/>
              <w:left w:val="nil"/>
              <w:bottom w:val="nil"/>
              <w:right w:val="nil"/>
            </w:tcBorders>
            <w:shd w:val="clear" w:color="auto" w:fill="auto"/>
            <w:noWrap/>
            <w:vAlign w:val="center"/>
            <w:hideMark/>
          </w:tcPr>
          <w:p w14:paraId="34241BDE"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(0,636)</w:t>
            </w:r>
          </w:p>
        </w:tc>
        <w:tc>
          <w:tcPr>
            <w:tcW w:w="1222" w:type="dxa"/>
            <w:gridSpan w:val="2"/>
            <w:tcBorders>
              <w:top w:val="nil"/>
              <w:left w:val="nil"/>
              <w:bottom w:val="nil"/>
              <w:right w:val="nil"/>
            </w:tcBorders>
            <w:shd w:val="clear" w:color="auto" w:fill="auto"/>
            <w:noWrap/>
            <w:vAlign w:val="center"/>
            <w:hideMark/>
          </w:tcPr>
          <w:p w14:paraId="684DD0B6"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(0,928)</w:t>
            </w:r>
          </w:p>
        </w:tc>
      </w:tr>
      <w:tr w:rsidR="00AA220A" w:rsidRPr="001E4794" w14:paraId="0B3FA496"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7AFD7700"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INDEP</w:t>
            </w:r>
          </w:p>
        </w:tc>
        <w:tc>
          <w:tcPr>
            <w:tcW w:w="610" w:type="dxa"/>
            <w:tcBorders>
              <w:top w:val="nil"/>
              <w:left w:val="nil"/>
              <w:bottom w:val="nil"/>
              <w:right w:val="nil"/>
            </w:tcBorders>
            <w:shd w:val="clear" w:color="auto" w:fill="auto"/>
            <w:noWrap/>
            <w:vAlign w:val="center"/>
            <w:hideMark/>
          </w:tcPr>
          <w:p w14:paraId="68CB392D"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-0,171</w:t>
            </w:r>
          </w:p>
        </w:tc>
        <w:tc>
          <w:tcPr>
            <w:tcW w:w="610" w:type="dxa"/>
            <w:tcBorders>
              <w:top w:val="nil"/>
              <w:left w:val="nil"/>
              <w:bottom w:val="nil"/>
              <w:right w:val="nil"/>
            </w:tcBorders>
            <w:shd w:val="clear" w:color="auto" w:fill="auto"/>
            <w:noWrap/>
            <w:vAlign w:val="center"/>
            <w:hideMark/>
          </w:tcPr>
          <w:p w14:paraId="575D6F0E"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0" w:type="dxa"/>
            <w:tcBorders>
              <w:top w:val="nil"/>
              <w:left w:val="nil"/>
              <w:bottom w:val="nil"/>
              <w:right w:val="nil"/>
            </w:tcBorders>
            <w:shd w:val="clear" w:color="auto" w:fill="auto"/>
            <w:noWrap/>
            <w:vAlign w:val="center"/>
            <w:hideMark/>
          </w:tcPr>
          <w:p w14:paraId="367A41A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-2,037</w:t>
            </w:r>
          </w:p>
        </w:tc>
        <w:tc>
          <w:tcPr>
            <w:tcW w:w="610" w:type="dxa"/>
            <w:tcBorders>
              <w:top w:val="nil"/>
              <w:left w:val="nil"/>
              <w:bottom w:val="nil"/>
              <w:right w:val="nil"/>
            </w:tcBorders>
            <w:shd w:val="clear" w:color="auto" w:fill="auto"/>
            <w:noWrap/>
            <w:vAlign w:val="center"/>
            <w:hideMark/>
          </w:tcPr>
          <w:p w14:paraId="0B358E25"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209AD931"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1,942</w:t>
            </w:r>
          </w:p>
        </w:tc>
        <w:tc>
          <w:tcPr>
            <w:tcW w:w="611" w:type="dxa"/>
            <w:tcBorders>
              <w:top w:val="nil"/>
              <w:left w:val="nil"/>
              <w:bottom w:val="nil"/>
              <w:right w:val="nil"/>
            </w:tcBorders>
            <w:shd w:val="clear" w:color="auto" w:fill="auto"/>
            <w:noWrap/>
            <w:vAlign w:val="center"/>
            <w:hideMark/>
          </w:tcPr>
          <w:p w14:paraId="6F8AE5AB"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3E99CC27"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1,465</w:t>
            </w:r>
          </w:p>
        </w:tc>
        <w:tc>
          <w:tcPr>
            <w:tcW w:w="611" w:type="dxa"/>
            <w:tcBorders>
              <w:top w:val="nil"/>
              <w:left w:val="nil"/>
              <w:bottom w:val="nil"/>
              <w:right w:val="nil"/>
            </w:tcBorders>
            <w:shd w:val="clear" w:color="auto" w:fill="auto"/>
            <w:noWrap/>
            <w:vAlign w:val="center"/>
            <w:hideMark/>
          </w:tcPr>
          <w:p w14:paraId="2D39D7E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1F1C6354"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-1,163</w:t>
            </w:r>
          </w:p>
        </w:tc>
        <w:tc>
          <w:tcPr>
            <w:tcW w:w="611" w:type="dxa"/>
            <w:tcBorders>
              <w:top w:val="nil"/>
              <w:left w:val="nil"/>
              <w:bottom w:val="nil"/>
              <w:right w:val="nil"/>
            </w:tcBorders>
            <w:shd w:val="clear" w:color="auto" w:fill="auto"/>
            <w:noWrap/>
            <w:vAlign w:val="center"/>
            <w:hideMark/>
          </w:tcPr>
          <w:p w14:paraId="1F1B600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783F2C67"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-1,555</w:t>
            </w:r>
          </w:p>
        </w:tc>
        <w:tc>
          <w:tcPr>
            <w:tcW w:w="611" w:type="dxa"/>
            <w:tcBorders>
              <w:top w:val="nil"/>
              <w:left w:val="nil"/>
              <w:bottom w:val="nil"/>
              <w:right w:val="nil"/>
            </w:tcBorders>
            <w:shd w:val="clear" w:color="auto" w:fill="auto"/>
            <w:noWrap/>
            <w:vAlign w:val="center"/>
            <w:hideMark/>
          </w:tcPr>
          <w:p w14:paraId="2A97590A"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r>
      <w:tr w:rsidR="00AA220A" w:rsidRPr="001E4794" w14:paraId="7B781935"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2399BAB4"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5B9C454F"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(0,382)</w:t>
            </w:r>
          </w:p>
        </w:tc>
        <w:tc>
          <w:tcPr>
            <w:tcW w:w="1220" w:type="dxa"/>
            <w:gridSpan w:val="2"/>
            <w:tcBorders>
              <w:top w:val="nil"/>
              <w:left w:val="nil"/>
              <w:bottom w:val="nil"/>
              <w:right w:val="nil"/>
            </w:tcBorders>
            <w:shd w:val="clear" w:color="auto" w:fill="auto"/>
            <w:noWrap/>
            <w:vAlign w:val="center"/>
            <w:hideMark/>
          </w:tcPr>
          <w:p w14:paraId="151BD134"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(1,173)</w:t>
            </w:r>
          </w:p>
        </w:tc>
        <w:tc>
          <w:tcPr>
            <w:tcW w:w="1222" w:type="dxa"/>
            <w:gridSpan w:val="2"/>
            <w:tcBorders>
              <w:top w:val="nil"/>
              <w:left w:val="nil"/>
              <w:bottom w:val="nil"/>
              <w:right w:val="nil"/>
            </w:tcBorders>
            <w:shd w:val="clear" w:color="auto" w:fill="auto"/>
            <w:noWrap/>
            <w:vAlign w:val="center"/>
            <w:hideMark/>
          </w:tcPr>
          <w:p w14:paraId="673561C6"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(1,187)</w:t>
            </w:r>
          </w:p>
        </w:tc>
        <w:tc>
          <w:tcPr>
            <w:tcW w:w="1222" w:type="dxa"/>
            <w:gridSpan w:val="2"/>
            <w:tcBorders>
              <w:top w:val="nil"/>
              <w:left w:val="nil"/>
              <w:bottom w:val="nil"/>
              <w:right w:val="nil"/>
            </w:tcBorders>
            <w:shd w:val="clear" w:color="auto" w:fill="auto"/>
            <w:noWrap/>
            <w:vAlign w:val="center"/>
            <w:hideMark/>
          </w:tcPr>
          <w:p w14:paraId="05F4D761"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(0,766)</w:t>
            </w:r>
          </w:p>
        </w:tc>
        <w:tc>
          <w:tcPr>
            <w:tcW w:w="1222" w:type="dxa"/>
            <w:gridSpan w:val="2"/>
            <w:tcBorders>
              <w:top w:val="nil"/>
              <w:left w:val="nil"/>
              <w:bottom w:val="nil"/>
              <w:right w:val="nil"/>
            </w:tcBorders>
            <w:shd w:val="clear" w:color="auto" w:fill="auto"/>
            <w:noWrap/>
            <w:vAlign w:val="center"/>
            <w:hideMark/>
          </w:tcPr>
          <w:p w14:paraId="1CF74DAD"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(1,535)</w:t>
            </w:r>
          </w:p>
        </w:tc>
        <w:tc>
          <w:tcPr>
            <w:tcW w:w="1222" w:type="dxa"/>
            <w:gridSpan w:val="2"/>
            <w:tcBorders>
              <w:top w:val="nil"/>
              <w:left w:val="nil"/>
              <w:bottom w:val="nil"/>
              <w:right w:val="nil"/>
            </w:tcBorders>
            <w:shd w:val="clear" w:color="auto" w:fill="auto"/>
            <w:noWrap/>
            <w:vAlign w:val="center"/>
            <w:hideMark/>
          </w:tcPr>
          <w:p w14:paraId="566BAA7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(1,847)</w:t>
            </w:r>
          </w:p>
        </w:tc>
      </w:tr>
      <w:tr w:rsidR="00AA220A" w:rsidRPr="001E4794" w14:paraId="577EE802"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496BEF01"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AVAL</w:t>
            </w:r>
          </w:p>
        </w:tc>
        <w:tc>
          <w:tcPr>
            <w:tcW w:w="610" w:type="dxa"/>
            <w:tcBorders>
              <w:top w:val="nil"/>
              <w:left w:val="nil"/>
              <w:bottom w:val="nil"/>
              <w:right w:val="nil"/>
            </w:tcBorders>
            <w:shd w:val="clear" w:color="auto" w:fill="auto"/>
            <w:noWrap/>
            <w:vAlign w:val="center"/>
            <w:hideMark/>
          </w:tcPr>
          <w:p w14:paraId="4CBCD0CE"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0,831</w:t>
            </w:r>
          </w:p>
        </w:tc>
        <w:tc>
          <w:tcPr>
            <w:tcW w:w="610" w:type="dxa"/>
            <w:tcBorders>
              <w:top w:val="nil"/>
              <w:left w:val="nil"/>
              <w:bottom w:val="nil"/>
              <w:right w:val="nil"/>
            </w:tcBorders>
            <w:shd w:val="clear" w:color="auto" w:fill="auto"/>
            <w:noWrap/>
            <w:vAlign w:val="center"/>
            <w:hideMark/>
          </w:tcPr>
          <w:p w14:paraId="02A347B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0" w:type="dxa"/>
            <w:tcBorders>
              <w:top w:val="nil"/>
              <w:left w:val="nil"/>
              <w:bottom w:val="nil"/>
              <w:right w:val="nil"/>
            </w:tcBorders>
            <w:shd w:val="clear" w:color="auto" w:fill="auto"/>
            <w:noWrap/>
            <w:vAlign w:val="center"/>
            <w:hideMark/>
          </w:tcPr>
          <w:p w14:paraId="4D028833"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1,672</w:t>
            </w:r>
          </w:p>
        </w:tc>
        <w:tc>
          <w:tcPr>
            <w:tcW w:w="610" w:type="dxa"/>
            <w:tcBorders>
              <w:top w:val="nil"/>
              <w:left w:val="nil"/>
              <w:bottom w:val="nil"/>
              <w:right w:val="nil"/>
            </w:tcBorders>
            <w:shd w:val="clear" w:color="auto" w:fill="auto"/>
            <w:noWrap/>
            <w:vAlign w:val="center"/>
            <w:hideMark/>
          </w:tcPr>
          <w:p w14:paraId="752FF520"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4BDBD35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0,333</w:t>
            </w:r>
          </w:p>
        </w:tc>
        <w:tc>
          <w:tcPr>
            <w:tcW w:w="611" w:type="dxa"/>
            <w:tcBorders>
              <w:top w:val="nil"/>
              <w:left w:val="nil"/>
              <w:bottom w:val="nil"/>
              <w:right w:val="nil"/>
            </w:tcBorders>
            <w:shd w:val="clear" w:color="auto" w:fill="auto"/>
            <w:noWrap/>
            <w:vAlign w:val="center"/>
            <w:hideMark/>
          </w:tcPr>
          <w:p w14:paraId="4B47C79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1BC09F8F"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0,616</w:t>
            </w:r>
          </w:p>
        </w:tc>
        <w:tc>
          <w:tcPr>
            <w:tcW w:w="611" w:type="dxa"/>
            <w:tcBorders>
              <w:top w:val="nil"/>
              <w:left w:val="nil"/>
              <w:bottom w:val="nil"/>
              <w:right w:val="nil"/>
            </w:tcBorders>
            <w:shd w:val="clear" w:color="auto" w:fill="auto"/>
            <w:noWrap/>
            <w:vAlign w:val="center"/>
            <w:hideMark/>
          </w:tcPr>
          <w:p w14:paraId="47B5F12A"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29F1A549"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0,214</w:t>
            </w:r>
          </w:p>
        </w:tc>
        <w:tc>
          <w:tcPr>
            <w:tcW w:w="611" w:type="dxa"/>
            <w:tcBorders>
              <w:top w:val="nil"/>
              <w:left w:val="nil"/>
              <w:bottom w:val="nil"/>
              <w:right w:val="nil"/>
            </w:tcBorders>
            <w:shd w:val="clear" w:color="auto" w:fill="auto"/>
            <w:noWrap/>
            <w:vAlign w:val="center"/>
            <w:hideMark/>
          </w:tcPr>
          <w:p w14:paraId="365EB0DF"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69B41C3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1,062</w:t>
            </w:r>
          </w:p>
        </w:tc>
        <w:tc>
          <w:tcPr>
            <w:tcW w:w="611" w:type="dxa"/>
            <w:tcBorders>
              <w:top w:val="nil"/>
              <w:left w:val="nil"/>
              <w:bottom w:val="nil"/>
              <w:right w:val="nil"/>
            </w:tcBorders>
            <w:shd w:val="clear" w:color="auto" w:fill="auto"/>
            <w:noWrap/>
            <w:vAlign w:val="center"/>
            <w:hideMark/>
          </w:tcPr>
          <w:p w14:paraId="3DAAAB6A"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r>
      <w:tr w:rsidR="00AA220A" w:rsidRPr="001E4794" w14:paraId="1C2A9A3C"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3A978126"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61426246"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(0,241)</w:t>
            </w:r>
          </w:p>
        </w:tc>
        <w:tc>
          <w:tcPr>
            <w:tcW w:w="1220" w:type="dxa"/>
            <w:gridSpan w:val="2"/>
            <w:tcBorders>
              <w:top w:val="nil"/>
              <w:left w:val="nil"/>
              <w:bottom w:val="nil"/>
              <w:right w:val="nil"/>
            </w:tcBorders>
            <w:shd w:val="clear" w:color="auto" w:fill="auto"/>
            <w:noWrap/>
            <w:vAlign w:val="center"/>
            <w:hideMark/>
          </w:tcPr>
          <w:p w14:paraId="4AC0FE9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(0,503)</w:t>
            </w:r>
          </w:p>
        </w:tc>
        <w:tc>
          <w:tcPr>
            <w:tcW w:w="1222" w:type="dxa"/>
            <w:gridSpan w:val="2"/>
            <w:tcBorders>
              <w:top w:val="nil"/>
              <w:left w:val="nil"/>
              <w:bottom w:val="nil"/>
              <w:right w:val="nil"/>
            </w:tcBorders>
            <w:shd w:val="clear" w:color="auto" w:fill="auto"/>
            <w:noWrap/>
            <w:vAlign w:val="center"/>
            <w:hideMark/>
          </w:tcPr>
          <w:p w14:paraId="68F45EB7"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(0,534)</w:t>
            </w:r>
          </w:p>
        </w:tc>
        <w:tc>
          <w:tcPr>
            <w:tcW w:w="1222" w:type="dxa"/>
            <w:gridSpan w:val="2"/>
            <w:tcBorders>
              <w:top w:val="nil"/>
              <w:left w:val="nil"/>
              <w:bottom w:val="nil"/>
              <w:right w:val="nil"/>
            </w:tcBorders>
            <w:shd w:val="clear" w:color="auto" w:fill="auto"/>
            <w:noWrap/>
            <w:vAlign w:val="center"/>
            <w:hideMark/>
          </w:tcPr>
          <w:p w14:paraId="01E28D97"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(0,388)</w:t>
            </w:r>
          </w:p>
        </w:tc>
        <w:tc>
          <w:tcPr>
            <w:tcW w:w="1222" w:type="dxa"/>
            <w:gridSpan w:val="2"/>
            <w:tcBorders>
              <w:top w:val="nil"/>
              <w:left w:val="nil"/>
              <w:bottom w:val="nil"/>
              <w:right w:val="nil"/>
            </w:tcBorders>
            <w:shd w:val="clear" w:color="auto" w:fill="auto"/>
            <w:noWrap/>
            <w:vAlign w:val="center"/>
            <w:hideMark/>
          </w:tcPr>
          <w:p w14:paraId="6B5E9E0A"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(0,598)</w:t>
            </w:r>
          </w:p>
        </w:tc>
        <w:tc>
          <w:tcPr>
            <w:tcW w:w="1222" w:type="dxa"/>
            <w:gridSpan w:val="2"/>
            <w:tcBorders>
              <w:top w:val="nil"/>
              <w:left w:val="nil"/>
              <w:bottom w:val="nil"/>
              <w:right w:val="nil"/>
            </w:tcBorders>
            <w:shd w:val="clear" w:color="auto" w:fill="auto"/>
            <w:noWrap/>
            <w:vAlign w:val="center"/>
            <w:hideMark/>
          </w:tcPr>
          <w:p w14:paraId="27E1CAB7"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(0,672)</w:t>
            </w:r>
          </w:p>
        </w:tc>
      </w:tr>
      <w:tr w:rsidR="00AA220A" w:rsidRPr="001E4794" w14:paraId="4124279F"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296BBBC7"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SEPCADE</w:t>
            </w:r>
          </w:p>
        </w:tc>
        <w:tc>
          <w:tcPr>
            <w:tcW w:w="610" w:type="dxa"/>
            <w:tcBorders>
              <w:top w:val="nil"/>
              <w:left w:val="nil"/>
              <w:bottom w:val="nil"/>
              <w:right w:val="nil"/>
            </w:tcBorders>
            <w:shd w:val="clear" w:color="auto" w:fill="auto"/>
            <w:noWrap/>
            <w:vAlign w:val="center"/>
            <w:hideMark/>
          </w:tcPr>
          <w:p w14:paraId="250F7BD0"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0,956</w:t>
            </w:r>
          </w:p>
        </w:tc>
        <w:tc>
          <w:tcPr>
            <w:tcW w:w="610" w:type="dxa"/>
            <w:tcBorders>
              <w:top w:val="nil"/>
              <w:left w:val="nil"/>
              <w:bottom w:val="nil"/>
              <w:right w:val="nil"/>
            </w:tcBorders>
            <w:shd w:val="clear" w:color="auto" w:fill="auto"/>
            <w:noWrap/>
            <w:vAlign w:val="center"/>
            <w:hideMark/>
          </w:tcPr>
          <w:p w14:paraId="5E0DAF15"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0" w:type="dxa"/>
            <w:tcBorders>
              <w:top w:val="nil"/>
              <w:left w:val="nil"/>
              <w:bottom w:val="nil"/>
              <w:right w:val="nil"/>
            </w:tcBorders>
            <w:shd w:val="clear" w:color="auto" w:fill="auto"/>
            <w:noWrap/>
            <w:vAlign w:val="center"/>
            <w:hideMark/>
          </w:tcPr>
          <w:p w14:paraId="4E028E4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-2,171</w:t>
            </w:r>
          </w:p>
        </w:tc>
        <w:tc>
          <w:tcPr>
            <w:tcW w:w="610" w:type="dxa"/>
            <w:tcBorders>
              <w:top w:val="nil"/>
              <w:left w:val="nil"/>
              <w:bottom w:val="nil"/>
              <w:right w:val="nil"/>
            </w:tcBorders>
            <w:shd w:val="clear" w:color="auto" w:fill="auto"/>
            <w:noWrap/>
            <w:vAlign w:val="center"/>
            <w:hideMark/>
          </w:tcPr>
          <w:p w14:paraId="5318DE82"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7C1CFB36"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1,025</w:t>
            </w:r>
          </w:p>
        </w:tc>
        <w:tc>
          <w:tcPr>
            <w:tcW w:w="611" w:type="dxa"/>
            <w:tcBorders>
              <w:top w:val="nil"/>
              <w:left w:val="nil"/>
              <w:bottom w:val="nil"/>
              <w:right w:val="nil"/>
            </w:tcBorders>
            <w:shd w:val="clear" w:color="auto" w:fill="auto"/>
            <w:noWrap/>
            <w:vAlign w:val="center"/>
            <w:hideMark/>
          </w:tcPr>
          <w:p w14:paraId="7EDE4C9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312D0E01"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1,179</w:t>
            </w:r>
          </w:p>
        </w:tc>
        <w:tc>
          <w:tcPr>
            <w:tcW w:w="611" w:type="dxa"/>
            <w:tcBorders>
              <w:top w:val="nil"/>
              <w:left w:val="nil"/>
              <w:bottom w:val="nil"/>
              <w:right w:val="nil"/>
            </w:tcBorders>
            <w:shd w:val="clear" w:color="auto" w:fill="auto"/>
            <w:noWrap/>
            <w:vAlign w:val="center"/>
            <w:hideMark/>
          </w:tcPr>
          <w:p w14:paraId="287F0B6A"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2CE5AD30"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0,529</w:t>
            </w:r>
          </w:p>
        </w:tc>
        <w:tc>
          <w:tcPr>
            <w:tcW w:w="611" w:type="dxa"/>
            <w:tcBorders>
              <w:top w:val="nil"/>
              <w:left w:val="nil"/>
              <w:bottom w:val="nil"/>
              <w:right w:val="nil"/>
            </w:tcBorders>
            <w:shd w:val="clear" w:color="auto" w:fill="auto"/>
            <w:noWrap/>
            <w:vAlign w:val="center"/>
            <w:hideMark/>
          </w:tcPr>
          <w:p w14:paraId="0231CF73"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4BF02D6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21,221</w:t>
            </w:r>
          </w:p>
        </w:tc>
        <w:tc>
          <w:tcPr>
            <w:tcW w:w="611" w:type="dxa"/>
            <w:tcBorders>
              <w:top w:val="nil"/>
              <w:left w:val="nil"/>
              <w:bottom w:val="nil"/>
              <w:right w:val="nil"/>
            </w:tcBorders>
            <w:shd w:val="clear" w:color="auto" w:fill="auto"/>
            <w:noWrap/>
            <w:vAlign w:val="center"/>
            <w:hideMark/>
          </w:tcPr>
          <w:p w14:paraId="580B360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r>
      <w:tr w:rsidR="00AA220A" w:rsidRPr="001E4794" w14:paraId="48876C58"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2310D562"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57D6C32D"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(0,581)</w:t>
            </w:r>
          </w:p>
        </w:tc>
        <w:tc>
          <w:tcPr>
            <w:tcW w:w="1220" w:type="dxa"/>
            <w:gridSpan w:val="2"/>
            <w:tcBorders>
              <w:top w:val="nil"/>
              <w:left w:val="nil"/>
              <w:bottom w:val="nil"/>
              <w:right w:val="nil"/>
            </w:tcBorders>
            <w:shd w:val="clear" w:color="auto" w:fill="auto"/>
            <w:noWrap/>
            <w:vAlign w:val="center"/>
            <w:hideMark/>
          </w:tcPr>
          <w:p w14:paraId="650A867D"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(2,126)</w:t>
            </w:r>
          </w:p>
        </w:tc>
        <w:tc>
          <w:tcPr>
            <w:tcW w:w="1222" w:type="dxa"/>
            <w:gridSpan w:val="2"/>
            <w:tcBorders>
              <w:top w:val="nil"/>
              <w:left w:val="nil"/>
              <w:bottom w:val="nil"/>
              <w:right w:val="nil"/>
            </w:tcBorders>
            <w:shd w:val="clear" w:color="auto" w:fill="auto"/>
            <w:noWrap/>
            <w:vAlign w:val="center"/>
            <w:hideMark/>
          </w:tcPr>
          <w:p w14:paraId="5FD64DE3"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(1,897)</w:t>
            </w:r>
          </w:p>
        </w:tc>
        <w:tc>
          <w:tcPr>
            <w:tcW w:w="1222" w:type="dxa"/>
            <w:gridSpan w:val="2"/>
            <w:tcBorders>
              <w:top w:val="nil"/>
              <w:left w:val="nil"/>
              <w:bottom w:val="nil"/>
              <w:right w:val="nil"/>
            </w:tcBorders>
            <w:shd w:val="clear" w:color="auto" w:fill="auto"/>
            <w:noWrap/>
            <w:vAlign w:val="center"/>
            <w:hideMark/>
          </w:tcPr>
          <w:p w14:paraId="3B76ED8F"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(0,679)</w:t>
            </w:r>
          </w:p>
        </w:tc>
        <w:tc>
          <w:tcPr>
            <w:tcW w:w="1222" w:type="dxa"/>
            <w:gridSpan w:val="2"/>
            <w:tcBorders>
              <w:top w:val="nil"/>
              <w:left w:val="nil"/>
              <w:bottom w:val="nil"/>
              <w:right w:val="nil"/>
            </w:tcBorders>
            <w:shd w:val="clear" w:color="auto" w:fill="auto"/>
            <w:noWrap/>
            <w:vAlign w:val="center"/>
            <w:hideMark/>
          </w:tcPr>
          <w:p w14:paraId="5C845699"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(1,276)</w:t>
            </w:r>
          </w:p>
        </w:tc>
        <w:tc>
          <w:tcPr>
            <w:tcW w:w="1222" w:type="dxa"/>
            <w:gridSpan w:val="2"/>
            <w:tcBorders>
              <w:top w:val="nil"/>
              <w:left w:val="nil"/>
              <w:bottom w:val="nil"/>
              <w:right w:val="nil"/>
            </w:tcBorders>
            <w:shd w:val="clear" w:color="auto" w:fill="auto"/>
            <w:noWrap/>
            <w:vAlign w:val="center"/>
            <w:hideMark/>
          </w:tcPr>
          <w:p w14:paraId="5BFB08A4"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(11,103)</w:t>
            </w:r>
          </w:p>
        </w:tc>
      </w:tr>
      <w:tr w:rsidR="00AA220A" w:rsidRPr="001E4794" w14:paraId="1B8FD520"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0E5453F9"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REMCA</w:t>
            </w:r>
          </w:p>
        </w:tc>
        <w:tc>
          <w:tcPr>
            <w:tcW w:w="610" w:type="dxa"/>
            <w:tcBorders>
              <w:top w:val="nil"/>
              <w:left w:val="nil"/>
              <w:bottom w:val="nil"/>
              <w:right w:val="nil"/>
            </w:tcBorders>
            <w:shd w:val="clear" w:color="auto" w:fill="auto"/>
            <w:noWrap/>
            <w:vAlign w:val="center"/>
            <w:hideMark/>
          </w:tcPr>
          <w:p w14:paraId="54262F6D"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-0,296</w:t>
            </w:r>
          </w:p>
        </w:tc>
        <w:tc>
          <w:tcPr>
            <w:tcW w:w="610" w:type="dxa"/>
            <w:tcBorders>
              <w:top w:val="nil"/>
              <w:left w:val="nil"/>
              <w:bottom w:val="nil"/>
              <w:right w:val="nil"/>
            </w:tcBorders>
            <w:shd w:val="clear" w:color="auto" w:fill="auto"/>
            <w:noWrap/>
            <w:vAlign w:val="center"/>
            <w:hideMark/>
          </w:tcPr>
          <w:p w14:paraId="57F65CBC"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0" w:type="dxa"/>
            <w:tcBorders>
              <w:top w:val="nil"/>
              <w:left w:val="nil"/>
              <w:bottom w:val="nil"/>
              <w:right w:val="nil"/>
            </w:tcBorders>
            <w:shd w:val="clear" w:color="auto" w:fill="auto"/>
            <w:noWrap/>
            <w:vAlign w:val="center"/>
            <w:hideMark/>
          </w:tcPr>
          <w:p w14:paraId="215086F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0,829</w:t>
            </w:r>
          </w:p>
        </w:tc>
        <w:tc>
          <w:tcPr>
            <w:tcW w:w="610" w:type="dxa"/>
            <w:tcBorders>
              <w:top w:val="nil"/>
              <w:left w:val="nil"/>
              <w:bottom w:val="nil"/>
              <w:right w:val="nil"/>
            </w:tcBorders>
            <w:shd w:val="clear" w:color="auto" w:fill="auto"/>
            <w:noWrap/>
            <w:vAlign w:val="center"/>
            <w:hideMark/>
          </w:tcPr>
          <w:p w14:paraId="29569670"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79D5FEF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-1,921</w:t>
            </w:r>
          </w:p>
        </w:tc>
        <w:tc>
          <w:tcPr>
            <w:tcW w:w="611" w:type="dxa"/>
            <w:tcBorders>
              <w:top w:val="nil"/>
              <w:left w:val="nil"/>
              <w:bottom w:val="nil"/>
              <w:right w:val="nil"/>
            </w:tcBorders>
            <w:shd w:val="clear" w:color="auto" w:fill="auto"/>
            <w:noWrap/>
            <w:vAlign w:val="center"/>
            <w:hideMark/>
          </w:tcPr>
          <w:p w14:paraId="21A2E6A8"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0177730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0,007</w:t>
            </w:r>
          </w:p>
        </w:tc>
        <w:tc>
          <w:tcPr>
            <w:tcW w:w="611" w:type="dxa"/>
            <w:tcBorders>
              <w:top w:val="nil"/>
              <w:left w:val="nil"/>
              <w:bottom w:val="nil"/>
              <w:right w:val="nil"/>
            </w:tcBorders>
            <w:shd w:val="clear" w:color="auto" w:fill="auto"/>
            <w:noWrap/>
            <w:vAlign w:val="center"/>
            <w:hideMark/>
          </w:tcPr>
          <w:p w14:paraId="5E83BB23"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7EAF1C6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1,060</w:t>
            </w:r>
          </w:p>
        </w:tc>
        <w:tc>
          <w:tcPr>
            <w:tcW w:w="611" w:type="dxa"/>
            <w:tcBorders>
              <w:top w:val="nil"/>
              <w:left w:val="nil"/>
              <w:bottom w:val="nil"/>
              <w:right w:val="nil"/>
            </w:tcBorders>
            <w:shd w:val="clear" w:color="auto" w:fill="auto"/>
            <w:noWrap/>
            <w:vAlign w:val="center"/>
            <w:hideMark/>
          </w:tcPr>
          <w:p w14:paraId="1EE0CBC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30F61B4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-1,976</w:t>
            </w:r>
          </w:p>
        </w:tc>
        <w:tc>
          <w:tcPr>
            <w:tcW w:w="611" w:type="dxa"/>
            <w:tcBorders>
              <w:top w:val="nil"/>
              <w:left w:val="nil"/>
              <w:bottom w:val="nil"/>
              <w:right w:val="nil"/>
            </w:tcBorders>
            <w:shd w:val="clear" w:color="auto" w:fill="auto"/>
            <w:noWrap/>
            <w:vAlign w:val="center"/>
            <w:hideMark/>
          </w:tcPr>
          <w:p w14:paraId="6C8092E2"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r>
      <w:tr w:rsidR="00AA220A" w:rsidRPr="001E4794" w14:paraId="63A213F8"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77EFEB30"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4A1E83FA"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(0,333)</w:t>
            </w:r>
          </w:p>
        </w:tc>
        <w:tc>
          <w:tcPr>
            <w:tcW w:w="1220" w:type="dxa"/>
            <w:gridSpan w:val="2"/>
            <w:tcBorders>
              <w:top w:val="nil"/>
              <w:left w:val="nil"/>
              <w:bottom w:val="nil"/>
              <w:right w:val="nil"/>
            </w:tcBorders>
            <w:shd w:val="clear" w:color="auto" w:fill="auto"/>
            <w:noWrap/>
            <w:vAlign w:val="center"/>
            <w:hideMark/>
          </w:tcPr>
          <w:p w14:paraId="0FB9EB42"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(0,789)</w:t>
            </w:r>
          </w:p>
        </w:tc>
        <w:tc>
          <w:tcPr>
            <w:tcW w:w="1222" w:type="dxa"/>
            <w:gridSpan w:val="2"/>
            <w:tcBorders>
              <w:top w:val="nil"/>
              <w:left w:val="nil"/>
              <w:bottom w:val="nil"/>
              <w:right w:val="nil"/>
            </w:tcBorders>
            <w:shd w:val="clear" w:color="auto" w:fill="auto"/>
            <w:noWrap/>
            <w:vAlign w:val="center"/>
            <w:hideMark/>
          </w:tcPr>
          <w:p w14:paraId="6A8309D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(0,698)</w:t>
            </w:r>
          </w:p>
        </w:tc>
        <w:tc>
          <w:tcPr>
            <w:tcW w:w="1222" w:type="dxa"/>
            <w:gridSpan w:val="2"/>
            <w:tcBorders>
              <w:top w:val="nil"/>
              <w:left w:val="nil"/>
              <w:bottom w:val="nil"/>
              <w:right w:val="nil"/>
            </w:tcBorders>
            <w:shd w:val="clear" w:color="auto" w:fill="auto"/>
            <w:noWrap/>
            <w:vAlign w:val="center"/>
            <w:hideMark/>
          </w:tcPr>
          <w:p w14:paraId="401E1051"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(0,574)</w:t>
            </w:r>
          </w:p>
        </w:tc>
        <w:tc>
          <w:tcPr>
            <w:tcW w:w="1222" w:type="dxa"/>
            <w:gridSpan w:val="2"/>
            <w:tcBorders>
              <w:top w:val="nil"/>
              <w:left w:val="nil"/>
              <w:bottom w:val="nil"/>
              <w:right w:val="nil"/>
            </w:tcBorders>
            <w:shd w:val="clear" w:color="auto" w:fill="auto"/>
            <w:noWrap/>
            <w:vAlign w:val="center"/>
            <w:hideMark/>
          </w:tcPr>
          <w:p w14:paraId="5C64D3A2"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(0,694)</w:t>
            </w:r>
          </w:p>
        </w:tc>
        <w:tc>
          <w:tcPr>
            <w:tcW w:w="1222" w:type="dxa"/>
            <w:gridSpan w:val="2"/>
            <w:tcBorders>
              <w:top w:val="nil"/>
              <w:left w:val="nil"/>
              <w:bottom w:val="nil"/>
              <w:right w:val="nil"/>
            </w:tcBorders>
            <w:shd w:val="clear" w:color="auto" w:fill="auto"/>
            <w:noWrap/>
            <w:vAlign w:val="center"/>
            <w:hideMark/>
          </w:tcPr>
          <w:p w14:paraId="2317D062"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(1,053)</w:t>
            </w:r>
          </w:p>
        </w:tc>
      </w:tr>
      <w:tr w:rsidR="00AA220A" w:rsidRPr="001E4794" w14:paraId="40A34183"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5BE4FF29"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TAM</w:t>
            </w:r>
          </w:p>
        </w:tc>
        <w:tc>
          <w:tcPr>
            <w:tcW w:w="610" w:type="dxa"/>
            <w:tcBorders>
              <w:top w:val="nil"/>
              <w:left w:val="nil"/>
              <w:bottom w:val="nil"/>
              <w:right w:val="nil"/>
            </w:tcBorders>
            <w:shd w:val="clear" w:color="auto" w:fill="auto"/>
            <w:noWrap/>
            <w:vAlign w:val="center"/>
            <w:hideMark/>
          </w:tcPr>
          <w:p w14:paraId="7B1DC193"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-0,119</w:t>
            </w:r>
          </w:p>
        </w:tc>
        <w:tc>
          <w:tcPr>
            <w:tcW w:w="610" w:type="dxa"/>
            <w:tcBorders>
              <w:top w:val="nil"/>
              <w:left w:val="nil"/>
              <w:bottom w:val="nil"/>
              <w:right w:val="nil"/>
            </w:tcBorders>
            <w:shd w:val="clear" w:color="auto" w:fill="auto"/>
            <w:noWrap/>
            <w:vAlign w:val="center"/>
            <w:hideMark/>
          </w:tcPr>
          <w:p w14:paraId="3F982401"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0" w:type="dxa"/>
            <w:tcBorders>
              <w:top w:val="nil"/>
              <w:left w:val="nil"/>
              <w:bottom w:val="nil"/>
              <w:right w:val="nil"/>
            </w:tcBorders>
            <w:shd w:val="clear" w:color="auto" w:fill="auto"/>
            <w:noWrap/>
            <w:vAlign w:val="center"/>
            <w:hideMark/>
          </w:tcPr>
          <w:p w14:paraId="4AAA2117"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0,131</w:t>
            </w:r>
          </w:p>
        </w:tc>
        <w:tc>
          <w:tcPr>
            <w:tcW w:w="610" w:type="dxa"/>
            <w:tcBorders>
              <w:top w:val="nil"/>
              <w:left w:val="nil"/>
              <w:bottom w:val="nil"/>
              <w:right w:val="nil"/>
            </w:tcBorders>
            <w:shd w:val="clear" w:color="auto" w:fill="auto"/>
            <w:noWrap/>
            <w:vAlign w:val="center"/>
            <w:hideMark/>
          </w:tcPr>
          <w:p w14:paraId="7BC44A51"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3463F2E6"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-0,314</w:t>
            </w:r>
          </w:p>
        </w:tc>
        <w:tc>
          <w:tcPr>
            <w:tcW w:w="611" w:type="dxa"/>
            <w:tcBorders>
              <w:top w:val="nil"/>
              <w:left w:val="nil"/>
              <w:bottom w:val="nil"/>
              <w:right w:val="nil"/>
            </w:tcBorders>
            <w:shd w:val="clear" w:color="auto" w:fill="auto"/>
            <w:noWrap/>
            <w:vAlign w:val="center"/>
            <w:hideMark/>
          </w:tcPr>
          <w:p w14:paraId="796A2390"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77E34C7C"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0,201</w:t>
            </w:r>
          </w:p>
        </w:tc>
        <w:tc>
          <w:tcPr>
            <w:tcW w:w="611" w:type="dxa"/>
            <w:tcBorders>
              <w:top w:val="nil"/>
              <w:left w:val="nil"/>
              <w:bottom w:val="nil"/>
              <w:right w:val="nil"/>
            </w:tcBorders>
            <w:shd w:val="clear" w:color="auto" w:fill="auto"/>
            <w:noWrap/>
            <w:vAlign w:val="center"/>
            <w:hideMark/>
          </w:tcPr>
          <w:p w14:paraId="65FA36F1"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4B1AAC2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-0,005</w:t>
            </w:r>
          </w:p>
        </w:tc>
        <w:tc>
          <w:tcPr>
            <w:tcW w:w="611" w:type="dxa"/>
            <w:tcBorders>
              <w:top w:val="nil"/>
              <w:left w:val="nil"/>
              <w:bottom w:val="nil"/>
              <w:right w:val="nil"/>
            </w:tcBorders>
            <w:shd w:val="clear" w:color="auto" w:fill="auto"/>
            <w:noWrap/>
            <w:vAlign w:val="center"/>
            <w:hideMark/>
          </w:tcPr>
          <w:p w14:paraId="594BC7AF"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4B386B27"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-0,819</w:t>
            </w:r>
          </w:p>
        </w:tc>
        <w:tc>
          <w:tcPr>
            <w:tcW w:w="611" w:type="dxa"/>
            <w:tcBorders>
              <w:top w:val="nil"/>
              <w:left w:val="nil"/>
              <w:bottom w:val="nil"/>
              <w:right w:val="nil"/>
            </w:tcBorders>
            <w:shd w:val="clear" w:color="auto" w:fill="auto"/>
            <w:noWrap/>
            <w:vAlign w:val="center"/>
            <w:hideMark/>
          </w:tcPr>
          <w:p w14:paraId="4E738432"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r>
      <w:tr w:rsidR="00AA220A" w:rsidRPr="001E4794" w14:paraId="156C9D3B"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52152624"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10650DF8"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(0,060)</w:t>
            </w:r>
          </w:p>
        </w:tc>
        <w:tc>
          <w:tcPr>
            <w:tcW w:w="1220" w:type="dxa"/>
            <w:gridSpan w:val="2"/>
            <w:tcBorders>
              <w:top w:val="nil"/>
              <w:left w:val="nil"/>
              <w:bottom w:val="nil"/>
              <w:right w:val="nil"/>
            </w:tcBorders>
            <w:shd w:val="clear" w:color="auto" w:fill="auto"/>
            <w:noWrap/>
            <w:vAlign w:val="center"/>
            <w:hideMark/>
          </w:tcPr>
          <w:p w14:paraId="0FD5A33C"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(0,166)</w:t>
            </w:r>
          </w:p>
        </w:tc>
        <w:tc>
          <w:tcPr>
            <w:tcW w:w="1222" w:type="dxa"/>
            <w:gridSpan w:val="2"/>
            <w:tcBorders>
              <w:top w:val="nil"/>
              <w:left w:val="nil"/>
              <w:bottom w:val="nil"/>
              <w:right w:val="nil"/>
            </w:tcBorders>
            <w:shd w:val="clear" w:color="auto" w:fill="auto"/>
            <w:noWrap/>
            <w:vAlign w:val="center"/>
            <w:hideMark/>
          </w:tcPr>
          <w:p w14:paraId="11E3FADC"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(0,130)</w:t>
            </w:r>
          </w:p>
        </w:tc>
        <w:tc>
          <w:tcPr>
            <w:tcW w:w="1222" w:type="dxa"/>
            <w:gridSpan w:val="2"/>
            <w:tcBorders>
              <w:top w:val="nil"/>
              <w:left w:val="nil"/>
              <w:bottom w:val="nil"/>
              <w:right w:val="nil"/>
            </w:tcBorders>
            <w:shd w:val="clear" w:color="auto" w:fill="auto"/>
            <w:noWrap/>
            <w:vAlign w:val="center"/>
            <w:hideMark/>
          </w:tcPr>
          <w:p w14:paraId="721B7707"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(0,104)</w:t>
            </w:r>
          </w:p>
        </w:tc>
        <w:tc>
          <w:tcPr>
            <w:tcW w:w="1222" w:type="dxa"/>
            <w:gridSpan w:val="2"/>
            <w:tcBorders>
              <w:top w:val="nil"/>
              <w:left w:val="nil"/>
              <w:bottom w:val="nil"/>
              <w:right w:val="nil"/>
            </w:tcBorders>
            <w:shd w:val="clear" w:color="auto" w:fill="auto"/>
            <w:noWrap/>
            <w:vAlign w:val="center"/>
            <w:hideMark/>
          </w:tcPr>
          <w:p w14:paraId="22B22EB9"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(0,143)</w:t>
            </w:r>
          </w:p>
        </w:tc>
        <w:tc>
          <w:tcPr>
            <w:tcW w:w="1222" w:type="dxa"/>
            <w:gridSpan w:val="2"/>
            <w:tcBorders>
              <w:top w:val="nil"/>
              <w:left w:val="nil"/>
              <w:bottom w:val="nil"/>
              <w:right w:val="nil"/>
            </w:tcBorders>
            <w:shd w:val="clear" w:color="auto" w:fill="auto"/>
            <w:noWrap/>
            <w:vAlign w:val="center"/>
            <w:hideMark/>
          </w:tcPr>
          <w:p w14:paraId="28B72754"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(0,184)</w:t>
            </w:r>
          </w:p>
        </w:tc>
      </w:tr>
      <w:tr w:rsidR="00AA220A" w:rsidRPr="001E4794" w14:paraId="341E1772"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02D8A080"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ROE</w:t>
            </w:r>
          </w:p>
        </w:tc>
        <w:tc>
          <w:tcPr>
            <w:tcW w:w="610" w:type="dxa"/>
            <w:tcBorders>
              <w:top w:val="nil"/>
              <w:left w:val="nil"/>
              <w:bottom w:val="nil"/>
              <w:right w:val="nil"/>
            </w:tcBorders>
            <w:shd w:val="clear" w:color="auto" w:fill="auto"/>
            <w:noWrap/>
            <w:vAlign w:val="center"/>
            <w:hideMark/>
          </w:tcPr>
          <w:p w14:paraId="4B920D97"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-0,833</w:t>
            </w:r>
          </w:p>
        </w:tc>
        <w:tc>
          <w:tcPr>
            <w:tcW w:w="610" w:type="dxa"/>
            <w:tcBorders>
              <w:top w:val="nil"/>
              <w:left w:val="nil"/>
              <w:bottom w:val="nil"/>
              <w:right w:val="nil"/>
            </w:tcBorders>
            <w:shd w:val="clear" w:color="auto" w:fill="auto"/>
            <w:noWrap/>
            <w:vAlign w:val="center"/>
            <w:hideMark/>
          </w:tcPr>
          <w:p w14:paraId="3D203173"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0" w:type="dxa"/>
            <w:tcBorders>
              <w:top w:val="nil"/>
              <w:left w:val="nil"/>
              <w:bottom w:val="nil"/>
              <w:right w:val="nil"/>
            </w:tcBorders>
            <w:shd w:val="clear" w:color="auto" w:fill="auto"/>
            <w:noWrap/>
            <w:vAlign w:val="center"/>
            <w:hideMark/>
          </w:tcPr>
          <w:p w14:paraId="1715E039"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-0,523</w:t>
            </w:r>
          </w:p>
        </w:tc>
        <w:tc>
          <w:tcPr>
            <w:tcW w:w="610" w:type="dxa"/>
            <w:tcBorders>
              <w:top w:val="nil"/>
              <w:left w:val="nil"/>
              <w:bottom w:val="nil"/>
              <w:right w:val="nil"/>
            </w:tcBorders>
            <w:shd w:val="clear" w:color="auto" w:fill="auto"/>
            <w:noWrap/>
            <w:vAlign w:val="center"/>
            <w:hideMark/>
          </w:tcPr>
          <w:p w14:paraId="3D479D36"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7F66E46C"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-0,402</w:t>
            </w:r>
          </w:p>
        </w:tc>
        <w:tc>
          <w:tcPr>
            <w:tcW w:w="611" w:type="dxa"/>
            <w:tcBorders>
              <w:top w:val="nil"/>
              <w:left w:val="nil"/>
              <w:bottom w:val="nil"/>
              <w:right w:val="nil"/>
            </w:tcBorders>
            <w:shd w:val="clear" w:color="auto" w:fill="auto"/>
            <w:noWrap/>
            <w:vAlign w:val="center"/>
            <w:hideMark/>
          </w:tcPr>
          <w:p w14:paraId="29561233"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c>
          <w:tcPr>
            <w:tcW w:w="611" w:type="dxa"/>
            <w:tcBorders>
              <w:top w:val="nil"/>
              <w:left w:val="nil"/>
              <w:bottom w:val="nil"/>
              <w:right w:val="nil"/>
            </w:tcBorders>
            <w:shd w:val="clear" w:color="auto" w:fill="auto"/>
            <w:noWrap/>
            <w:vAlign w:val="center"/>
            <w:hideMark/>
          </w:tcPr>
          <w:p w14:paraId="6604F7E1"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1,055</w:t>
            </w:r>
          </w:p>
        </w:tc>
        <w:tc>
          <w:tcPr>
            <w:tcW w:w="611" w:type="dxa"/>
            <w:tcBorders>
              <w:top w:val="nil"/>
              <w:left w:val="nil"/>
              <w:bottom w:val="nil"/>
              <w:right w:val="nil"/>
            </w:tcBorders>
            <w:shd w:val="clear" w:color="auto" w:fill="auto"/>
            <w:noWrap/>
            <w:vAlign w:val="center"/>
            <w:hideMark/>
          </w:tcPr>
          <w:p w14:paraId="67A66C45"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769484B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-4,345</w:t>
            </w:r>
          </w:p>
        </w:tc>
        <w:tc>
          <w:tcPr>
            <w:tcW w:w="611" w:type="dxa"/>
            <w:tcBorders>
              <w:top w:val="nil"/>
              <w:left w:val="nil"/>
              <w:bottom w:val="nil"/>
              <w:right w:val="nil"/>
            </w:tcBorders>
            <w:shd w:val="clear" w:color="auto" w:fill="auto"/>
            <w:noWrap/>
            <w:vAlign w:val="center"/>
            <w:hideMark/>
          </w:tcPr>
          <w:p w14:paraId="3AB4E8D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nil"/>
              <w:left w:val="nil"/>
              <w:bottom w:val="nil"/>
              <w:right w:val="nil"/>
            </w:tcBorders>
            <w:shd w:val="clear" w:color="auto" w:fill="auto"/>
            <w:noWrap/>
            <w:vAlign w:val="center"/>
            <w:hideMark/>
          </w:tcPr>
          <w:p w14:paraId="4954E043"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-0,186</w:t>
            </w:r>
          </w:p>
        </w:tc>
        <w:tc>
          <w:tcPr>
            <w:tcW w:w="611" w:type="dxa"/>
            <w:tcBorders>
              <w:top w:val="nil"/>
              <w:left w:val="nil"/>
              <w:bottom w:val="nil"/>
              <w:right w:val="nil"/>
            </w:tcBorders>
            <w:shd w:val="clear" w:color="auto" w:fill="auto"/>
            <w:noWrap/>
            <w:vAlign w:val="center"/>
            <w:hideMark/>
          </w:tcPr>
          <w:p w14:paraId="582C3C9C"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p>
        </w:tc>
      </w:tr>
      <w:tr w:rsidR="00AA220A" w:rsidRPr="001E4794" w14:paraId="68108E5C" w14:textId="77777777" w:rsidTr="007B7786">
        <w:trPr>
          <w:trHeight w:val="20"/>
          <w:jc w:val="center"/>
        </w:trPr>
        <w:tc>
          <w:tcPr>
            <w:tcW w:w="993" w:type="dxa"/>
            <w:tcBorders>
              <w:top w:val="nil"/>
              <w:left w:val="nil"/>
              <w:bottom w:val="nil"/>
              <w:right w:val="nil"/>
            </w:tcBorders>
            <w:shd w:val="clear" w:color="auto" w:fill="auto"/>
            <w:noWrap/>
            <w:vAlign w:val="center"/>
            <w:hideMark/>
          </w:tcPr>
          <w:p w14:paraId="0176440A" w14:textId="77777777" w:rsidR="00AA220A" w:rsidRPr="001E4794" w:rsidRDefault="00AA220A" w:rsidP="007B7786">
            <w:pPr>
              <w:widowControl/>
              <w:spacing w:line="240" w:lineRule="auto"/>
              <w:jc w:val="left"/>
              <w:rPr>
                <w:rFonts w:ascii="Arial" w:eastAsia="Calibri" w:hAnsi="Arial" w:cs="Arial"/>
                <w:sz w:val="14"/>
                <w:szCs w:val="14"/>
                <w:lang w:eastAsia="x-none"/>
              </w:rPr>
            </w:pPr>
          </w:p>
        </w:tc>
        <w:tc>
          <w:tcPr>
            <w:tcW w:w="1220" w:type="dxa"/>
            <w:gridSpan w:val="2"/>
            <w:tcBorders>
              <w:top w:val="nil"/>
              <w:left w:val="nil"/>
              <w:bottom w:val="nil"/>
              <w:right w:val="nil"/>
            </w:tcBorders>
            <w:shd w:val="clear" w:color="auto" w:fill="auto"/>
            <w:noWrap/>
            <w:vAlign w:val="center"/>
            <w:hideMark/>
          </w:tcPr>
          <w:p w14:paraId="311CDC05"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(0,327)</w:t>
            </w:r>
          </w:p>
        </w:tc>
        <w:tc>
          <w:tcPr>
            <w:tcW w:w="1220" w:type="dxa"/>
            <w:gridSpan w:val="2"/>
            <w:tcBorders>
              <w:top w:val="nil"/>
              <w:left w:val="nil"/>
              <w:bottom w:val="nil"/>
              <w:right w:val="nil"/>
            </w:tcBorders>
            <w:shd w:val="clear" w:color="auto" w:fill="auto"/>
            <w:noWrap/>
            <w:vAlign w:val="center"/>
            <w:hideMark/>
          </w:tcPr>
          <w:p w14:paraId="3B3181FC"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(0,820)</w:t>
            </w:r>
          </w:p>
        </w:tc>
        <w:tc>
          <w:tcPr>
            <w:tcW w:w="1222" w:type="dxa"/>
            <w:gridSpan w:val="2"/>
            <w:tcBorders>
              <w:top w:val="nil"/>
              <w:left w:val="nil"/>
              <w:bottom w:val="nil"/>
              <w:right w:val="nil"/>
            </w:tcBorders>
            <w:shd w:val="clear" w:color="auto" w:fill="auto"/>
            <w:noWrap/>
            <w:vAlign w:val="center"/>
            <w:hideMark/>
          </w:tcPr>
          <w:p w14:paraId="7554818A"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(0,660)</w:t>
            </w:r>
          </w:p>
        </w:tc>
        <w:tc>
          <w:tcPr>
            <w:tcW w:w="1222" w:type="dxa"/>
            <w:gridSpan w:val="2"/>
            <w:tcBorders>
              <w:top w:val="nil"/>
              <w:left w:val="nil"/>
              <w:bottom w:val="nil"/>
              <w:right w:val="nil"/>
            </w:tcBorders>
            <w:shd w:val="clear" w:color="auto" w:fill="auto"/>
            <w:noWrap/>
            <w:vAlign w:val="center"/>
            <w:hideMark/>
          </w:tcPr>
          <w:p w14:paraId="45FA7D53"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(0,602)</w:t>
            </w:r>
          </w:p>
        </w:tc>
        <w:tc>
          <w:tcPr>
            <w:tcW w:w="1222" w:type="dxa"/>
            <w:gridSpan w:val="2"/>
            <w:tcBorders>
              <w:top w:val="nil"/>
              <w:left w:val="nil"/>
              <w:bottom w:val="nil"/>
              <w:right w:val="nil"/>
            </w:tcBorders>
            <w:shd w:val="clear" w:color="auto" w:fill="auto"/>
            <w:noWrap/>
            <w:vAlign w:val="center"/>
            <w:hideMark/>
          </w:tcPr>
          <w:p w14:paraId="35A6AC19"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(0,598)</w:t>
            </w:r>
          </w:p>
        </w:tc>
        <w:tc>
          <w:tcPr>
            <w:tcW w:w="1222" w:type="dxa"/>
            <w:gridSpan w:val="2"/>
            <w:tcBorders>
              <w:top w:val="nil"/>
              <w:left w:val="nil"/>
              <w:bottom w:val="nil"/>
              <w:right w:val="nil"/>
            </w:tcBorders>
            <w:shd w:val="clear" w:color="auto" w:fill="auto"/>
            <w:noWrap/>
            <w:vAlign w:val="center"/>
            <w:hideMark/>
          </w:tcPr>
          <w:p w14:paraId="562517D8"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r w:rsidRPr="001E4794">
              <w:rPr>
                <w:rFonts w:ascii="Arial" w:eastAsia="Calibri" w:hAnsi="Arial" w:cs="Arial"/>
                <w:sz w:val="14"/>
                <w:szCs w:val="14"/>
                <w:lang w:eastAsia="x-none"/>
              </w:rPr>
              <w:t>(0,962)</w:t>
            </w:r>
          </w:p>
        </w:tc>
      </w:tr>
      <w:tr w:rsidR="00AA220A" w:rsidRPr="001E4794" w14:paraId="2DFAF024" w14:textId="77777777" w:rsidTr="007B7786">
        <w:trPr>
          <w:trHeight w:val="20"/>
          <w:jc w:val="center"/>
        </w:trPr>
        <w:tc>
          <w:tcPr>
            <w:tcW w:w="993" w:type="dxa"/>
            <w:tcBorders>
              <w:top w:val="single" w:sz="4" w:space="0" w:color="auto"/>
              <w:left w:val="nil"/>
              <w:right w:val="nil"/>
            </w:tcBorders>
            <w:shd w:val="clear" w:color="auto" w:fill="auto"/>
            <w:noWrap/>
            <w:vAlign w:val="center"/>
            <w:hideMark/>
          </w:tcPr>
          <w:p w14:paraId="5E3257E8"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Χ</w:t>
            </w:r>
            <w:r w:rsidRPr="001E4794">
              <w:rPr>
                <w:rFonts w:ascii="Arial" w:eastAsia="Calibri" w:hAnsi="Arial" w:cs="Arial"/>
                <w:sz w:val="14"/>
                <w:szCs w:val="14"/>
                <w:vertAlign w:val="superscript"/>
                <w:lang w:eastAsia="x-none"/>
              </w:rPr>
              <w:t>2</w:t>
            </w:r>
          </w:p>
        </w:tc>
        <w:tc>
          <w:tcPr>
            <w:tcW w:w="610" w:type="dxa"/>
            <w:tcBorders>
              <w:top w:val="single" w:sz="4" w:space="0" w:color="auto"/>
              <w:left w:val="nil"/>
              <w:right w:val="nil"/>
            </w:tcBorders>
            <w:shd w:val="clear" w:color="auto" w:fill="auto"/>
            <w:noWrap/>
            <w:vAlign w:val="center"/>
            <w:hideMark/>
          </w:tcPr>
          <w:p w14:paraId="4C633C1E"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186,46</w:t>
            </w:r>
          </w:p>
        </w:tc>
        <w:tc>
          <w:tcPr>
            <w:tcW w:w="610" w:type="dxa"/>
            <w:tcBorders>
              <w:top w:val="single" w:sz="4" w:space="0" w:color="auto"/>
              <w:left w:val="nil"/>
              <w:right w:val="nil"/>
            </w:tcBorders>
            <w:shd w:val="clear" w:color="auto" w:fill="auto"/>
            <w:noWrap/>
            <w:vAlign w:val="center"/>
            <w:hideMark/>
          </w:tcPr>
          <w:p w14:paraId="160626C3"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0" w:type="dxa"/>
            <w:tcBorders>
              <w:top w:val="single" w:sz="4" w:space="0" w:color="auto"/>
              <w:left w:val="nil"/>
              <w:right w:val="nil"/>
            </w:tcBorders>
            <w:shd w:val="clear" w:color="auto" w:fill="auto"/>
            <w:noWrap/>
            <w:vAlign w:val="center"/>
            <w:hideMark/>
          </w:tcPr>
          <w:p w14:paraId="0509D4D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103,83</w:t>
            </w:r>
          </w:p>
        </w:tc>
        <w:tc>
          <w:tcPr>
            <w:tcW w:w="610" w:type="dxa"/>
            <w:tcBorders>
              <w:top w:val="single" w:sz="4" w:space="0" w:color="auto"/>
              <w:left w:val="nil"/>
              <w:right w:val="nil"/>
            </w:tcBorders>
            <w:shd w:val="clear" w:color="auto" w:fill="auto"/>
            <w:noWrap/>
            <w:vAlign w:val="center"/>
            <w:hideMark/>
          </w:tcPr>
          <w:p w14:paraId="65371950"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single" w:sz="4" w:space="0" w:color="auto"/>
              <w:left w:val="nil"/>
              <w:right w:val="nil"/>
            </w:tcBorders>
            <w:shd w:val="clear" w:color="auto" w:fill="auto"/>
            <w:noWrap/>
            <w:vAlign w:val="center"/>
            <w:hideMark/>
          </w:tcPr>
          <w:p w14:paraId="0DD310C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100,49</w:t>
            </w:r>
          </w:p>
        </w:tc>
        <w:tc>
          <w:tcPr>
            <w:tcW w:w="611" w:type="dxa"/>
            <w:tcBorders>
              <w:top w:val="single" w:sz="4" w:space="0" w:color="auto"/>
              <w:left w:val="nil"/>
              <w:right w:val="nil"/>
            </w:tcBorders>
            <w:shd w:val="clear" w:color="auto" w:fill="auto"/>
            <w:noWrap/>
            <w:vAlign w:val="center"/>
            <w:hideMark/>
          </w:tcPr>
          <w:p w14:paraId="75370EF5"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single" w:sz="4" w:space="0" w:color="auto"/>
              <w:left w:val="nil"/>
              <w:right w:val="nil"/>
            </w:tcBorders>
            <w:shd w:val="clear" w:color="auto" w:fill="auto"/>
            <w:noWrap/>
            <w:vAlign w:val="center"/>
            <w:hideMark/>
          </w:tcPr>
          <w:p w14:paraId="5C45D273"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114,61</w:t>
            </w:r>
          </w:p>
        </w:tc>
        <w:tc>
          <w:tcPr>
            <w:tcW w:w="611" w:type="dxa"/>
            <w:tcBorders>
              <w:top w:val="single" w:sz="4" w:space="0" w:color="auto"/>
              <w:left w:val="nil"/>
              <w:right w:val="nil"/>
            </w:tcBorders>
            <w:shd w:val="clear" w:color="auto" w:fill="auto"/>
            <w:noWrap/>
            <w:vAlign w:val="center"/>
            <w:hideMark/>
          </w:tcPr>
          <w:p w14:paraId="7DA772F2"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single" w:sz="4" w:space="0" w:color="auto"/>
              <w:left w:val="nil"/>
              <w:right w:val="nil"/>
            </w:tcBorders>
            <w:shd w:val="clear" w:color="auto" w:fill="auto"/>
            <w:noWrap/>
            <w:vAlign w:val="center"/>
            <w:hideMark/>
          </w:tcPr>
          <w:p w14:paraId="1BF1A0B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143,37</w:t>
            </w:r>
          </w:p>
        </w:tc>
        <w:tc>
          <w:tcPr>
            <w:tcW w:w="611" w:type="dxa"/>
            <w:tcBorders>
              <w:top w:val="single" w:sz="4" w:space="0" w:color="auto"/>
              <w:left w:val="nil"/>
              <w:right w:val="nil"/>
            </w:tcBorders>
            <w:shd w:val="clear" w:color="auto" w:fill="auto"/>
            <w:noWrap/>
            <w:vAlign w:val="center"/>
            <w:hideMark/>
          </w:tcPr>
          <w:p w14:paraId="1FAEFDB9"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c>
          <w:tcPr>
            <w:tcW w:w="611" w:type="dxa"/>
            <w:tcBorders>
              <w:top w:val="single" w:sz="4" w:space="0" w:color="auto"/>
              <w:left w:val="nil"/>
              <w:right w:val="nil"/>
            </w:tcBorders>
            <w:shd w:val="clear" w:color="auto" w:fill="auto"/>
            <w:noWrap/>
            <w:vAlign w:val="center"/>
            <w:hideMark/>
          </w:tcPr>
          <w:p w14:paraId="17485E01"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70,81</w:t>
            </w:r>
          </w:p>
        </w:tc>
        <w:tc>
          <w:tcPr>
            <w:tcW w:w="611" w:type="dxa"/>
            <w:tcBorders>
              <w:top w:val="single" w:sz="4" w:space="0" w:color="auto"/>
              <w:left w:val="nil"/>
              <w:right w:val="nil"/>
            </w:tcBorders>
            <w:shd w:val="clear" w:color="auto" w:fill="auto"/>
            <w:noWrap/>
            <w:vAlign w:val="center"/>
            <w:hideMark/>
          </w:tcPr>
          <w:p w14:paraId="4E4AFDE4" w14:textId="77777777" w:rsidR="00AA220A" w:rsidRPr="001E4794" w:rsidRDefault="00AA220A" w:rsidP="007B7786">
            <w:pPr>
              <w:widowControl/>
              <w:spacing w:line="240" w:lineRule="auto"/>
              <w:ind w:left="-57" w:right="-57"/>
              <w:jc w:val="left"/>
              <w:rPr>
                <w:rFonts w:ascii="Arial" w:eastAsia="Calibri" w:hAnsi="Arial" w:cs="Arial"/>
                <w:sz w:val="14"/>
                <w:szCs w:val="14"/>
                <w:lang w:eastAsia="x-none"/>
              </w:rPr>
            </w:pPr>
            <w:r w:rsidRPr="001E4794">
              <w:rPr>
                <w:rFonts w:ascii="Arial" w:eastAsia="Calibri" w:hAnsi="Arial" w:cs="Arial"/>
                <w:sz w:val="14"/>
                <w:szCs w:val="14"/>
                <w:lang w:eastAsia="x-none"/>
              </w:rPr>
              <w:t>***</w:t>
            </w:r>
          </w:p>
        </w:tc>
      </w:tr>
      <w:tr w:rsidR="00AA220A" w:rsidRPr="001E4794" w14:paraId="6A61C7EB" w14:textId="77777777" w:rsidTr="007B7786">
        <w:trPr>
          <w:trHeight w:val="20"/>
          <w:jc w:val="center"/>
        </w:trPr>
        <w:tc>
          <w:tcPr>
            <w:tcW w:w="993" w:type="dxa"/>
            <w:tcBorders>
              <w:left w:val="nil"/>
              <w:bottom w:val="single" w:sz="4" w:space="0" w:color="auto"/>
              <w:right w:val="nil"/>
            </w:tcBorders>
            <w:shd w:val="clear" w:color="auto" w:fill="auto"/>
            <w:noWrap/>
            <w:vAlign w:val="center"/>
          </w:tcPr>
          <w:p w14:paraId="0EDB6687" w14:textId="77777777"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VIF</w:t>
            </w:r>
          </w:p>
        </w:tc>
        <w:tc>
          <w:tcPr>
            <w:tcW w:w="610" w:type="dxa"/>
            <w:tcBorders>
              <w:left w:val="nil"/>
              <w:bottom w:val="single" w:sz="4" w:space="0" w:color="auto"/>
              <w:right w:val="nil"/>
            </w:tcBorders>
            <w:shd w:val="clear" w:color="auto" w:fill="auto"/>
            <w:noWrap/>
            <w:vAlign w:val="center"/>
          </w:tcPr>
          <w:p w14:paraId="11F90D8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1,21</w:t>
            </w:r>
          </w:p>
        </w:tc>
        <w:tc>
          <w:tcPr>
            <w:tcW w:w="610" w:type="dxa"/>
            <w:tcBorders>
              <w:left w:val="nil"/>
              <w:bottom w:val="single" w:sz="4" w:space="0" w:color="auto"/>
              <w:right w:val="nil"/>
            </w:tcBorders>
            <w:shd w:val="clear" w:color="auto" w:fill="auto"/>
            <w:noWrap/>
            <w:vAlign w:val="center"/>
          </w:tcPr>
          <w:p w14:paraId="1A88CEA2"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0" w:type="dxa"/>
            <w:tcBorders>
              <w:left w:val="nil"/>
              <w:bottom w:val="single" w:sz="4" w:space="0" w:color="auto"/>
              <w:right w:val="nil"/>
            </w:tcBorders>
            <w:shd w:val="clear" w:color="auto" w:fill="auto"/>
            <w:noWrap/>
            <w:vAlign w:val="center"/>
          </w:tcPr>
          <w:p w14:paraId="0D6BE77C"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1,44</w:t>
            </w:r>
          </w:p>
        </w:tc>
        <w:tc>
          <w:tcPr>
            <w:tcW w:w="610" w:type="dxa"/>
            <w:tcBorders>
              <w:left w:val="nil"/>
              <w:bottom w:val="single" w:sz="4" w:space="0" w:color="auto"/>
              <w:right w:val="nil"/>
            </w:tcBorders>
            <w:shd w:val="clear" w:color="auto" w:fill="auto"/>
            <w:noWrap/>
            <w:vAlign w:val="center"/>
          </w:tcPr>
          <w:p w14:paraId="7F9C3039"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left w:val="nil"/>
              <w:bottom w:val="single" w:sz="4" w:space="0" w:color="auto"/>
              <w:right w:val="nil"/>
            </w:tcBorders>
            <w:shd w:val="clear" w:color="auto" w:fill="auto"/>
            <w:noWrap/>
            <w:vAlign w:val="center"/>
          </w:tcPr>
          <w:p w14:paraId="25F2F30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1,39</w:t>
            </w:r>
          </w:p>
        </w:tc>
        <w:tc>
          <w:tcPr>
            <w:tcW w:w="611" w:type="dxa"/>
            <w:tcBorders>
              <w:left w:val="nil"/>
              <w:bottom w:val="single" w:sz="4" w:space="0" w:color="auto"/>
              <w:right w:val="nil"/>
            </w:tcBorders>
            <w:shd w:val="clear" w:color="auto" w:fill="auto"/>
            <w:noWrap/>
            <w:vAlign w:val="center"/>
          </w:tcPr>
          <w:p w14:paraId="7462BC0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left w:val="nil"/>
              <w:bottom w:val="single" w:sz="4" w:space="0" w:color="auto"/>
              <w:right w:val="nil"/>
            </w:tcBorders>
            <w:shd w:val="clear" w:color="auto" w:fill="auto"/>
            <w:noWrap/>
            <w:vAlign w:val="center"/>
          </w:tcPr>
          <w:p w14:paraId="0AD4E40A"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1,30</w:t>
            </w:r>
          </w:p>
        </w:tc>
        <w:tc>
          <w:tcPr>
            <w:tcW w:w="611" w:type="dxa"/>
            <w:tcBorders>
              <w:left w:val="nil"/>
              <w:bottom w:val="single" w:sz="4" w:space="0" w:color="auto"/>
              <w:right w:val="nil"/>
            </w:tcBorders>
            <w:shd w:val="clear" w:color="auto" w:fill="auto"/>
            <w:noWrap/>
            <w:vAlign w:val="center"/>
          </w:tcPr>
          <w:p w14:paraId="243D18C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left w:val="nil"/>
              <w:bottom w:val="single" w:sz="4" w:space="0" w:color="auto"/>
              <w:right w:val="nil"/>
            </w:tcBorders>
            <w:shd w:val="clear" w:color="auto" w:fill="auto"/>
            <w:noWrap/>
            <w:vAlign w:val="center"/>
          </w:tcPr>
          <w:p w14:paraId="56ECF05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1,66</w:t>
            </w:r>
          </w:p>
        </w:tc>
        <w:tc>
          <w:tcPr>
            <w:tcW w:w="611" w:type="dxa"/>
            <w:tcBorders>
              <w:left w:val="nil"/>
              <w:bottom w:val="single" w:sz="4" w:space="0" w:color="auto"/>
              <w:right w:val="nil"/>
            </w:tcBorders>
            <w:shd w:val="clear" w:color="auto" w:fill="auto"/>
            <w:noWrap/>
            <w:vAlign w:val="center"/>
          </w:tcPr>
          <w:p w14:paraId="5ACC6C0E"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left w:val="nil"/>
              <w:bottom w:val="single" w:sz="4" w:space="0" w:color="auto"/>
              <w:right w:val="nil"/>
            </w:tcBorders>
            <w:shd w:val="clear" w:color="auto" w:fill="auto"/>
            <w:noWrap/>
            <w:vAlign w:val="center"/>
          </w:tcPr>
          <w:p w14:paraId="6F5A2EFF"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1,74</w:t>
            </w:r>
          </w:p>
        </w:tc>
        <w:tc>
          <w:tcPr>
            <w:tcW w:w="611" w:type="dxa"/>
            <w:tcBorders>
              <w:left w:val="nil"/>
              <w:bottom w:val="single" w:sz="4" w:space="0" w:color="auto"/>
              <w:right w:val="nil"/>
            </w:tcBorders>
            <w:shd w:val="clear" w:color="auto" w:fill="auto"/>
            <w:noWrap/>
            <w:vAlign w:val="center"/>
          </w:tcPr>
          <w:p w14:paraId="71C9EBA3"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r>
      <w:tr w:rsidR="00AA220A" w:rsidRPr="001E4794" w14:paraId="438DB13E" w14:textId="77777777" w:rsidTr="007B7786">
        <w:trPr>
          <w:trHeight w:val="20"/>
          <w:jc w:val="center"/>
        </w:trPr>
        <w:tc>
          <w:tcPr>
            <w:tcW w:w="993" w:type="dxa"/>
            <w:tcBorders>
              <w:top w:val="single" w:sz="4" w:space="0" w:color="auto"/>
              <w:left w:val="nil"/>
              <w:bottom w:val="nil"/>
              <w:right w:val="nil"/>
            </w:tcBorders>
            <w:shd w:val="clear" w:color="auto" w:fill="auto"/>
            <w:noWrap/>
            <w:vAlign w:val="center"/>
            <w:hideMark/>
          </w:tcPr>
          <w:p w14:paraId="443F7E61" w14:textId="255C9116"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Empresas</w:t>
            </w:r>
          </w:p>
        </w:tc>
        <w:tc>
          <w:tcPr>
            <w:tcW w:w="610" w:type="dxa"/>
            <w:tcBorders>
              <w:top w:val="single" w:sz="4" w:space="0" w:color="auto"/>
              <w:left w:val="nil"/>
              <w:bottom w:val="nil"/>
              <w:right w:val="nil"/>
            </w:tcBorders>
            <w:shd w:val="clear" w:color="auto" w:fill="auto"/>
            <w:noWrap/>
            <w:vAlign w:val="center"/>
            <w:hideMark/>
          </w:tcPr>
          <w:p w14:paraId="52E01A51"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281</w:t>
            </w:r>
          </w:p>
        </w:tc>
        <w:tc>
          <w:tcPr>
            <w:tcW w:w="610" w:type="dxa"/>
            <w:tcBorders>
              <w:top w:val="single" w:sz="4" w:space="0" w:color="auto"/>
              <w:left w:val="nil"/>
              <w:bottom w:val="nil"/>
              <w:right w:val="nil"/>
            </w:tcBorders>
            <w:shd w:val="clear" w:color="auto" w:fill="auto"/>
            <w:noWrap/>
            <w:vAlign w:val="center"/>
            <w:hideMark/>
          </w:tcPr>
          <w:p w14:paraId="7A5E6F69"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0" w:type="dxa"/>
            <w:tcBorders>
              <w:top w:val="single" w:sz="4" w:space="0" w:color="auto"/>
              <w:left w:val="nil"/>
              <w:bottom w:val="nil"/>
              <w:right w:val="nil"/>
            </w:tcBorders>
            <w:shd w:val="clear" w:color="auto" w:fill="auto"/>
            <w:noWrap/>
            <w:vAlign w:val="center"/>
            <w:hideMark/>
          </w:tcPr>
          <w:p w14:paraId="13E5151F"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46</w:t>
            </w:r>
          </w:p>
        </w:tc>
        <w:tc>
          <w:tcPr>
            <w:tcW w:w="610" w:type="dxa"/>
            <w:tcBorders>
              <w:top w:val="single" w:sz="4" w:space="0" w:color="auto"/>
              <w:left w:val="nil"/>
              <w:bottom w:val="nil"/>
              <w:right w:val="nil"/>
            </w:tcBorders>
            <w:shd w:val="clear" w:color="auto" w:fill="auto"/>
            <w:noWrap/>
            <w:vAlign w:val="center"/>
            <w:hideMark/>
          </w:tcPr>
          <w:p w14:paraId="5667F10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single" w:sz="4" w:space="0" w:color="auto"/>
              <w:left w:val="nil"/>
              <w:bottom w:val="nil"/>
              <w:right w:val="nil"/>
            </w:tcBorders>
            <w:shd w:val="clear" w:color="auto" w:fill="auto"/>
            <w:noWrap/>
            <w:vAlign w:val="center"/>
            <w:hideMark/>
          </w:tcPr>
          <w:p w14:paraId="6C97285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69</w:t>
            </w:r>
          </w:p>
        </w:tc>
        <w:tc>
          <w:tcPr>
            <w:tcW w:w="611" w:type="dxa"/>
            <w:tcBorders>
              <w:top w:val="single" w:sz="4" w:space="0" w:color="auto"/>
              <w:left w:val="nil"/>
              <w:bottom w:val="nil"/>
              <w:right w:val="nil"/>
            </w:tcBorders>
            <w:shd w:val="clear" w:color="auto" w:fill="auto"/>
            <w:noWrap/>
            <w:vAlign w:val="center"/>
            <w:hideMark/>
          </w:tcPr>
          <w:p w14:paraId="7DF32FF3"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single" w:sz="4" w:space="0" w:color="auto"/>
              <w:left w:val="nil"/>
              <w:bottom w:val="nil"/>
              <w:right w:val="nil"/>
            </w:tcBorders>
            <w:shd w:val="clear" w:color="auto" w:fill="auto"/>
            <w:noWrap/>
            <w:vAlign w:val="center"/>
            <w:hideMark/>
          </w:tcPr>
          <w:p w14:paraId="75836CD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98</w:t>
            </w:r>
          </w:p>
        </w:tc>
        <w:tc>
          <w:tcPr>
            <w:tcW w:w="611" w:type="dxa"/>
            <w:tcBorders>
              <w:top w:val="single" w:sz="4" w:space="0" w:color="auto"/>
              <w:left w:val="nil"/>
              <w:bottom w:val="nil"/>
              <w:right w:val="nil"/>
            </w:tcBorders>
            <w:shd w:val="clear" w:color="auto" w:fill="auto"/>
            <w:noWrap/>
            <w:vAlign w:val="center"/>
            <w:hideMark/>
          </w:tcPr>
          <w:p w14:paraId="4DF38624"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single" w:sz="4" w:space="0" w:color="auto"/>
              <w:left w:val="nil"/>
              <w:bottom w:val="nil"/>
              <w:right w:val="nil"/>
            </w:tcBorders>
            <w:shd w:val="clear" w:color="auto" w:fill="auto"/>
            <w:noWrap/>
            <w:vAlign w:val="center"/>
            <w:hideMark/>
          </w:tcPr>
          <w:p w14:paraId="126DEDA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57</w:t>
            </w:r>
          </w:p>
        </w:tc>
        <w:tc>
          <w:tcPr>
            <w:tcW w:w="611" w:type="dxa"/>
            <w:tcBorders>
              <w:top w:val="single" w:sz="4" w:space="0" w:color="auto"/>
              <w:left w:val="nil"/>
              <w:bottom w:val="nil"/>
              <w:right w:val="nil"/>
            </w:tcBorders>
            <w:shd w:val="clear" w:color="auto" w:fill="auto"/>
            <w:noWrap/>
            <w:vAlign w:val="center"/>
            <w:hideMark/>
          </w:tcPr>
          <w:p w14:paraId="1E4383C1"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single" w:sz="4" w:space="0" w:color="auto"/>
              <w:left w:val="nil"/>
              <w:bottom w:val="nil"/>
              <w:right w:val="nil"/>
            </w:tcBorders>
            <w:shd w:val="clear" w:color="auto" w:fill="auto"/>
            <w:noWrap/>
            <w:vAlign w:val="center"/>
            <w:hideMark/>
          </w:tcPr>
          <w:p w14:paraId="1F22334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24</w:t>
            </w:r>
          </w:p>
        </w:tc>
        <w:tc>
          <w:tcPr>
            <w:tcW w:w="611" w:type="dxa"/>
            <w:tcBorders>
              <w:top w:val="single" w:sz="4" w:space="0" w:color="auto"/>
              <w:left w:val="nil"/>
              <w:bottom w:val="nil"/>
              <w:right w:val="nil"/>
            </w:tcBorders>
            <w:shd w:val="clear" w:color="auto" w:fill="auto"/>
            <w:noWrap/>
            <w:vAlign w:val="center"/>
            <w:hideMark/>
          </w:tcPr>
          <w:p w14:paraId="7E169637"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r>
      <w:tr w:rsidR="00AA220A" w:rsidRPr="001E4794" w14:paraId="0B187842" w14:textId="77777777" w:rsidTr="007B7786">
        <w:trPr>
          <w:trHeight w:val="20"/>
          <w:jc w:val="center"/>
        </w:trPr>
        <w:tc>
          <w:tcPr>
            <w:tcW w:w="993" w:type="dxa"/>
            <w:tcBorders>
              <w:top w:val="nil"/>
              <w:left w:val="nil"/>
              <w:bottom w:val="single" w:sz="4" w:space="0" w:color="auto"/>
              <w:right w:val="nil"/>
            </w:tcBorders>
            <w:shd w:val="clear" w:color="auto" w:fill="auto"/>
            <w:noWrap/>
            <w:vAlign w:val="center"/>
            <w:hideMark/>
          </w:tcPr>
          <w:p w14:paraId="2DD57BB4" w14:textId="6B36BF7F" w:rsidR="00AA220A" w:rsidRPr="001E4794" w:rsidRDefault="00AA220A" w:rsidP="007B7786">
            <w:pPr>
              <w:widowControl/>
              <w:spacing w:line="240" w:lineRule="auto"/>
              <w:jc w:val="left"/>
              <w:rPr>
                <w:rFonts w:ascii="Arial" w:eastAsia="Calibri" w:hAnsi="Arial" w:cs="Arial"/>
                <w:sz w:val="14"/>
                <w:szCs w:val="14"/>
                <w:lang w:eastAsia="x-none"/>
              </w:rPr>
            </w:pPr>
            <w:r w:rsidRPr="001E4794">
              <w:rPr>
                <w:rFonts w:ascii="Arial" w:eastAsia="Calibri" w:hAnsi="Arial" w:cs="Arial"/>
                <w:sz w:val="14"/>
                <w:szCs w:val="14"/>
                <w:lang w:eastAsia="x-none"/>
              </w:rPr>
              <w:t>Observações</w:t>
            </w:r>
          </w:p>
        </w:tc>
        <w:tc>
          <w:tcPr>
            <w:tcW w:w="610" w:type="dxa"/>
            <w:tcBorders>
              <w:top w:val="nil"/>
              <w:left w:val="nil"/>
              <w:bottom w:val="single" w:sz="4" w:space="0" w:color="auto"/>
              <w:right w:val="nil"/>
            </w:tcBorders>
            <w:shd w:val="clear" w:color="auto" w:fill="auto"/>
            <w:noWrap/>
            <w:vAlign w:val="center"/>
            <w:hideMark/>
          </w:tcPr>
          <w:p w14:paraId="71F77C9B"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741</w:t>
            </w:r>
          </w:p>
        </w:tc>
        <w:tc>
          <w:tcPr>
            <w:tcW w:w="610" w:type="dxa"/>
            <w:tcBorders>
              <w:top w:val="nil"/>
              <w:left w:val="nil"/>
              <w:bottom w:val="single" w:sz="4" w:space="0" w:color="auto"/>
              <w:right w:val="nil"/>
            </w:tcBorders>
            <w:shd w:val="clear" w:color="auto" w:fill="auto"/>
            <w:noWrap/>
            <w:vAlign w:val="center"/>
            <w:hideMark/>
          </w:tcPr>
          <w:p w14:paraId="3E744CCE"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0" w:type="dxa"/>
            <w:tcBorders>
              <w:top w:val="nil"/>
              <w:left w:val="nil"/>
              <w:bottom w:val="single" w:sz="4" w:space="0" w:color="auto"/>
              <w:right w:val="nil"/>
            </w:tcBorders>
            <w:shd w:val="clear" w:color="auto" w:fill="auto"/>
            <w:noWrap/>
            <w:vAlign w:val="center"/>
            <w:hideMark/>
          </w:tcPr>
          <w:p w14:paraId="0EB3567A"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116</w:t>
            </w:r>
          </w:p>
        </w:tc>
        <w:tc>
          <w:tcPr>
            <w:tcW w:w="610" w:type="dxa"/>
            <w:tcBorders>
              <w:top w:val="nil"/>
              <w:left w:val="nil"/>
              <w:bottom w:val="single" w:sz="4" w:space="0" w:color="auto"/>
              <w:right w:val="nil"/>
            </w:tcBorders>
            <w:shd w:val="clear" w:color="auto" w:fill="auto"/>
            <w:noWrap/>
            <w:vAlign w:val="center"/>
            <w:hideMark/>
          </w:tcPr>
          <w:p w14:paraId="11093F6B"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nil"/>
              <w:left w:val="nil"/>
              <w:bottom w:val="single" w:sz="4" w:space="0" w:color="auto"/>
              <w:right w:val="nil"/>
            </w:tcBorders>
            <w:shd w:val="clear" w:color="auto" w:fill="auto"/>
            <w:noWrap/>
            <w:vAlign w:val="center"/>
            <w:hideMark/>
          </w:tcPr>
          <w:p w14:paraId="2AD2AF15"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169</w:t>
            </w:r>
          </w:p>
        </w:tc>
        <w:tc>
          <w:tcPr>
            <w:tcW w:w="611" w:type="dxa"/>
            <w:tcBorders>
              <w:top w:val="nil"/>
              <w:left w:val="nil"/>
              <w:bottom w:val="single" w:sz="4" w:space="0" w:color="auto"/>
              <w:right w:val="nil"/>
            </w:tcBorders>
            <w:shd w:val="clear" w:color="auto" w:fill="auto"/>
            <w:noWrap/>
            <w:vAlign w:val="center"/>
            <w:hideMark/>
          </w:tcPr>
          <w:p w14:paraId="6F938FD8"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nil"/>
              <w:left w:val="nil"/>
              <w:bottom w:val="single" w:sz="4" w:space="0" w:color="auto"/>
              <w:right w:val="nil"/>
            </w:tcBorders>
            <w:shd w:val="clear" w:color="auto" w:fill="auto"/>
            <w:noWrap/>
            <w:vAlign w:val="center"/>
            <w:hideMark/>
          </w:tcPr>
          <w:p w14:paraId="0B023BCC"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244</w:t>
            </w:r>
          </w:p>
        </w:tc>
        <w:tc>
          <w:tcPr>
            <w:tcW w:w="611" w:type="dxa"/>
            <w:tcBorders>
              <w:top w:val="nil"/>
              <w:left w:val="nil"/>
              <w:bottom w:val="single" w:sz="4" w:space="0" w:color="auto"/>
              <w:right w:val="nil"/>
            </w:tcBorders>
            <w:shd w:val="clear" w:color="auto" w:fill="auto"/>
            <w:noWrap/>
            <w:vAlign w:val="center"/>
            <w:hideMark/>
          </w:tcPr>
          <w:p w14:paraId="6FBCAAFE"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nil"/>
              <w:left w:val="nil"/>
              <w:bottom w:val="single" w:sz="4" w:space="0" w:color="auto"/>
              <w:right w:val="nil"/>
            </w:tcBorders>
            <w:shd w:val="clear" w:color="auto" w:fill="auto"/>
            <w:noWrap/>
            <w:vAlign w:val="center"/>
            <w:hideMark/>
          </w:tcPr>
          <w:p w14:paraId="33F8C0B8"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144</w:t>
            </w:r>
          </w:p>
        </w:tc>
        <w:tc>
          <w:tcPr>
            <w:tcW w:w="611" w:type="dxa"/>
            <w:tcBorders>
              <w:top w:val="nil"/>
              <w:left w:val="nil"/>
              <w:bottom w:val="single" w:sz="4" w:space="0" w:color="auto"/>
              <w:right w:val="nil"/>
            </w:tcBorders>
            <w:shd w:val="clear" w:color="auto" w:fill="auto"/>
            <w:noWrap/>
            <w:vAlign w:val="center"/>
            <w:hideMark/>
          </w:tcPr>
          <w:p w14:paraId="690622CA"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c>
          <w:tcPr>
            <w:tcW w:w="611" w:type="dxa"/>
            <w:tcBorders>
              <w:top w:val="nil"/>
              <w:left w:val="nil"/>
              <w:bottom w:val="single" w:sz="4" w:space="0" w:color="auto"/>
              <w:right w:val="nil"/>
            </w:tcBorders>
            <w:shd w:val="clear" w:color="auto" w:fill="auto"/>
            <w:noWrap/>
            <w:vAlign w:val="center"/>
            <w:hideMark/>
          </w:tcPr>
          <w:p w14:paraId="2B719852" w14:textId="77777777" w:rsidR="00AA220A" w:rsidRPr="001E4794" w:rsidRDefault="00AA220A" w:rsidP="007B7786">
            <w:pPr>
              <w:widowControl/>
              <w:spacing w:line="240" w:lineRule="auto"/>
              <w:ind w:left="-57" w:right="-57"/>
              <w:jc w:val="right"/>
              <w:rPr>
                <w:rFonts w:ascii="Arial" w:eastAsia="Calibri" w:hAnsi="Arial" w:cs="Arial"/>
                <w:sz w:val="14"/>
                <w:szCs w:val="14"/>
                <w:lang w:eastAsia="x-none"/>
              </w:rPr>
            </w:pPr>
            <w:r w:rsidRPr="001E4794">
              <w:rPr>
                <w:rFonts w:ascii="Arial" w:eastAsia="Calibri" w:hAnsi="Arial" w:cs="Arial"/>
                <w:sz w:val="14"/>
                <w:szCs w:val="14"/>
                <w:lang w:eastAsia="x-none"/>
              </w:rPr>
              <w:t>68</w:t>
            </w:r>
          </w:p>
        </w:tc>
        <w:tc>
          <w:tcPr>
            <w:tcW w:w="611" w:type="dxa"/>
            <w:tcBorders>
              <w:top w:val="nil"/>
              <w:left w:val="nil"/>
              <w:bottom w:val="single" w:sz="4" w:space="0" w:color="auto"/>
              <w:right w:val="nil"/>
            </w:tcBorders>
            <w:shd w:val="clear" w:color="auto" w:fill="auto"/>
            <w:noWrap/>
            <w:vAlign w:val="center"/>
            <w:hideMark/>
          </w:tcPr>
          <w:p w14:paraId="3FED3BB5" w14:textId="77777777" w:rsidR="00AA220A" w:rsidRPr="001E4794" w:rsidRDefault="00AA220A" w:rsidP="007B7786">
            <w:pPr>
              <w:widowControl/>
              <w:spacing w:line="240" w:lineRule="auto"/>
              <w:ind w:left="-57" w:right="-57"/>
              <w:jc w:val="center"/>
              <w:rPr>
                <w:rFonts w:ascii="Arial" w:eastAsia="Calibri" w:hAnsi="Arial" w:cs="Arial"/>
                <w:sz w:val="14"/>
                <w:szCs w:val="14"/>
                <w:lang w:eastAsia="x-none"/>
              </w:rPr>
            </w:pPr>
          </w:p>
        </w:tc>
      </w:tr>
    </w:tbl>
    <w:p w14:paraId="44CA25DD" w14:textId="77777777" w:rsidR="00BE21FF" w:rsidRDefault="00AA220A" w:rsidP="00AA220A">
      <w:pPr>
        <w:widowControl/>
        <w:spacing w:before="40" w:after="240" w:line="240" w:lineRule="auto"/>
        <w:rPr>
          <w:rFonts w:ascii="Arial" w:eastAsia="Calibri" w:hAnsi="Arial" w:cs="Arial"/>
          <w:sz w:val="18"/>
          <w:szCs w:val="18"/>
          <w:lang w:eastAsia="x-none"/>
        </w:rPr>
      </w:pPr>
      <w:r w:rsidRPr="001E4794">
        <w:rPr>
          <w:rFonts w:ascii="Arial" w:eastAsia="Calibri" w:hAnsi="Arial" w:cs="Arial"/>
          <w:sz w:val="14"/>
          <w:szCs w:val="14"/>
          <w:lang w:eastAsia="en-US"/>
        </w:rPr>
        <w:t xml:space="preserve">Análise de regressão com modelagem </w:t>
      </w:r>
      <w:r w:rsidRPr="001E4794">
        <w:rPr>
          <w:rFonts w:ascii="Arial" w:eastAsia="Calibri" w:hAnsi="Arial" w:cs="Arial"/>
          <w:i/>
          <w:sz w:val="14"/>
          <w:szCs w:val="14"/>
          <w:lang w:eastAsia="en-US"/>
        </w:rPr>
        <w:t>Feasible Generalized Least Squares</w:t>
      </w:r>
      <w:r w:rsidRPr="001E4794">
        <w:rPr>
          <w:rFonts w:ascii="Arial" w:eastAsia="Calibri" w:hAnsi="Arial" w:cs="Arial"/>
          <w:sz w:val="14"/>
          <w:szCs w:val="14"/>
          <w:lang w:eastAsia="en-US"/>
        </w:rPr>
        <w:t xml:space="preserve">. </w:t>
      </w:r>
      <w:r w:rsidRPr="001E4794">
        <w:rPr>
          <w:rFonts w:ascii="Arial" w:eastAsia="Calibri" w:hAnsi="Arial" w:cs="Arial"/>
          <w:b/>
          <w:sz w:val="14"/>
          <w:szCs w:val="14"/>
          <w:lang w:eastAsia="en-US"/>
        </w:rPr>
        <w:t>Amostras:</w:t>
      </w:r>
      <w:r w:rsidRPr="001E4794">
        <w:rPr>
          <w:rFonts w:ascii="Arial" w:eastAsia="Calibri" w:hAnsi="Arial" w:cs="Arial"/>
          <w:sz w:val="14"/>
          <w:szCs w:val="14"/>
          <w:lang w:eastAsia="en-US"/>
        </w:rPr>
        <w:t xml:space="preserve"> empresas com controle disperso (DISP), compartilhado (COMP), familiar (FAM), empresarial (EMP) e governamental (GOV). </w:t>
      </w:r>
      <w:r w:rsidRPr="001E4794">
        <w:rPr>
          <w:rFonts w:ascii="Arial" w:eastAsia="Calibri" w:hAnsi="Arial" w:cs="Arial"/>
          <w:b/>
          <w:sz w:val="14"/>
          <w:szCs w:val="14"/>
          <w:lang w:eastAsia="en-US"/>
        </w:rPr>
        <w:t>Variável dependente:</w:t>
      </w:r>
      <w:r w:rsidRPr="001E4794">
        <w:rPr>
          <w:rFonts w:ascii="Arial" w:eastAsia="Calibri" w:hAnsi="Arial" w:cs="Arial"/>
          <w:sz w:val="14"/>
          <w:szCs w:val="14"/>
          <w:lang w:eastAsia="en-US"/>
        </w:rPr>
        <w:t xml:space="preserve"> </w:t>
      </w:r>
      <w:r w:rsidRPr="001E4794">
        <w:rPr>
          <w:rFonts w:ascii="Arial" w:eastAsia="Calibri" w:hAnsi="Arial" w:cs="Arial"/>
          <w:i/>
          <w:sz w:val="14"/>
          <w:szCs w:val="14"/>
          <w:lang w:eastAsia="en-US"/>
        </w:rPr>
        <w:t>Market-to-book (MB)</w:t>
      </w:r>
      <w:r w:rsidRPr="001E4794">
        <w:rPr>
          <w:rFonts w:ascii="Arial" w:eastAsia="Calibri" w:hAnsi="Arial" w:cs="Arial"/>
          <w:sz w:val="14"/>
          <w:szCs w:val="14"/>
          <w:lang w:eastAsia="en-US"/>
        </w:rPr>
        <w:t xml:space="preserve">. </w:t>
      </w:r>
      <w:r w:rsidRPr="001E4794">
        <w:rPr>
          <w:rFonts w:ascii="Arial" w:eastAsia="Calibri" w:hAnsi="Arial" w:cs="Arial"/>
          <w:b/>
          <w:sz w:val="14"/>
          <w:szCs w:val="14"/>
          <w:lang w:eastAsia="en-US"/>
        </w:rPr>
        <w:t xml:space="preserve">Variáveis explicativas de interesse (características da administração mensuradas por escalas múltiplas): </w:t>
      </w:r>
      <w:r w:rsidRPr="001E4794">
        <w:rPr>
          <w:rFonts w:ascii="Arial" w:eastAsia="Calibri" w:hAnsi="Arial" w:cs="Arial"/>
          <w:sz w:val="14"/>
          <w:szCs w:val="14"/>
          <w:lang w:eastAsia="en-US"/>
        </w:rPr>
        <w:t xml:space="preserve">Remuneração da diretoria executiva (REMDE); Independência dos administradores (INDEP); Avaliação dos administradores (AVAL); Separação entre órgãos da administração (SEPCADE); Remuneração do conselho de administração (REMCA). </w:t>
      </w:r>
      <w:r w:rsidRPr="001E4794">
        <w:rPr>
          <w:rFonts w:ascii="Arial" w:eastAsia="Calibri" w:hAnsi="Arial" w:cs="Arial"/>
          <w:b/>
          <w:sz w:val="14"/>
          <w:szCs w:val="14"/>
          <w:lang w:eastAsia="en-US"/>
        </w:rPr>
        <w:t>Variáveis de controle:</w:t>
      </w:r>
      <w:r w:rsidRPr="001E4794">
        <w:rPr>
          <w:rFonts w:ascii="Arial" w:eastAsia="Calibri" w:hAnsi="Arial" w:cs="Arial"/>
          <w:sz w:val="14"/>
          <w:szCs w:val="14"/>
          <w:lang w:eastAsia="en-US"/>
        </w:rPr>
        <w:t xml:space="preserve"> Tamanho</w:t>
      </w:r>
      <w:r w:rsidRPr="00E0128A">
        <w:rPr>
          <w:rFonts w:ascii="Arial" w:eastAsia="Calibri" w:hAnsi="Arial" w:cs="Arial"/>
          <w:sz w:val="14"/>
          <w:szCs w:val="14"/>
          <w:lang w:eastAsia="en-US"/>
        </w:rPr>
        <w:t xml:space="preserve"> (TAM); Retorno sobre patrimônio líquido (ROE); variáveis binárias indicativas do setor de atividade (SETOR) e do ano da observação (ANO), cujos coeficientes não foram reportados. </w:t>
      </w:r>
      <w:r w:rsidRPr="00E0128A">
        <w:rPr>
          <w:rFonts w:ascii="Arial" w:eastAsia="Calibri" w:hAnsi="Arial" w:cs="Arial"/>
          <w:b/>
          <w:bCs/>
          <w:sz w:val="14"/>
          <w:szCs w:val="14"/>
          <w:lang w:eastAsia="en-US"/>
        </w:rPr>
        <w:t>VIF:</w:t>
      </w:r>
      <w:r w:rsidRPr="00E0128A">
        <w:rPr>
          <w:rFonts w:ascii="Arial" w:eastAsia="Calibri" w:hAnsi="Arial" w:cs="Arial"/>
          <w:sz w:val="14"/>
          <w:szCs w:val="14"/>
          <w:lang w:eastAsia="en-US"/>
        </w:rPr>
        <w:t xml:space="preserve"> Fator de inflação da variância médio das variáveis explicativas. </w:t>
      </w:r>
      <w:r w:rsidRPr="00E0128A">
        <w:rPr>
          <w:rFonts w:ascii="Arial" w:eastAsia="Calibri" w:hAnsi="Arial" w:cs="Arial"/>
          <w:b/>
          <w:sz w:val="14"/>
          <w:szCs w:val="14"/>
          <w:lang w:eastAsia="en-US"/>
        </w:rPr>
        <w:t xml:space="preserve">Significância estatística: </w:t>
      </w:r>
      <w:r w:rsidRPr="00E0128A">
        <w:rPr>
          <w:rFonts w:ascii="Arial" w:eastAsia="Calibri" w:hAnsi="Arial" w:cs="Arial"/>
          <w:sz w:val="14"/>
          <w:szCs w:val="14"/>
          <w:lang w:eastAsia="en-US"/>
        </w:rPr>
        <w:t>p-valor menor do que 10% (*), 5% (**) e 1% (***).</w:t>
      </w:r>
    </w:p>
    <w:p w14:paraId="1A1B575E" w14:textId="77777777" w:rsidR="006B566E" w:rsidRPr="008D299A" w:rsidRDefault="006B566E" w:rsidP="008D299A">
      <w:pPr>
        <w:widowControl/>
        <w:spacing w:before="240" w:line="240" w:lineRule="auto"/>
        <w:ind w:firstLine="709"/>
        <w:rPr>
          <w:rFonts w:ascii="Arial" w:eastAsia="Calibri" w:hAnsi="Arial" w:cs="Arial"/>
          <w:sz w:val="18"/>
          <w:szCs w:val="18"/>
          <w:lang w:eastAsia="x-none"/>
        </w:rPr>
      </w:pPr>
      <w:r w:rsidRPr="008D299A">
        <w:rPr>
          <w:rFonts w:ascii="Arial" w:eastAsia="Calibri" w:hAnsi="Arial" w:cs="Arial"/>
          <w:sz w:val="18"/>
          <w:szCs w:val="18"/>
          <w:lang w:eastAsia="x-none"/>
        </w:rPr>
        <w:t xml:space="preserve">Os resultados das estimações corroboram a hipótese levantada, de que a relação das características do conselho de administração e da diretoria executiva com o valor da empresa depende do tipo de controle acionário. Considerando a amostra total, apenas a remuneração da </w:t>
      </w:r>
      <w:r w:rsidRPr="008D299A">
        <w:rPr>
          <w:rFonts w:ascii="Arial" w:eastAsia="Calibri" w:hAnsi="Arial" w:cs="Arial"/>
          <w:sz w:val="18"/>
          <w:szCs w:val="18"/>
          <w:lang w:eastAsia="x-none"/>
        </w:rPr>
        <w:lastRenderedPageBreak/>
        <w:t>diretoria executiva e a avaliação dos administradores apresentam relação com o valor da empresa – positiva. Mas quando se analisam as subamostras, observa-se que as cinco características da administração têm relação com o valor da empresa, e este efeito depende do tipo de controle acionário.</w:t>
      </w:r>
    </w:p>
    <w:p w14:paraId="25F380F3" w14:textId="77777777" w:rsidR="006B566E" w:rsidRPr="006F06E0" w:rsidRDefault="006B566E" w:rsidP="008D299A">
      <w:pPr>
        <w:widowControl/>
        <w:spacing w:before="240" w:line="240" w:lineRule="auto"/>
        <w:ind w:firstLine="709"/>
        <w:rPr>
          <w:rFonts w:ascii="Arial" w:eastAsia="Calibri" w:hAnsi="Arial" w:cs="Arial"/>
          <w:spacing w:val="4"/>
          <w:sz w:val="18"/>
          <w:szCs w:val="18"/>
          <w:lang w:eastAsia="en-US"/>
        </w:rPr>
      </w:pPr>
      <w:r w:rsidRPr="006F06E0">
        <w:rPr>
          <w:rFonts w:ascii="Arial" w:eastAsia="Calibri" w:hAnsi="Arial" w:cs="Arial"/>
          <w:spacing w:val="4"/>
          <w:sz w:val="18"/>
          <w:szCs w:val="18"/>
          <w:lang w:eastAsia="en-US"/>
        </w:rPr>
        <w:t xml:space="preserve">Nas empresas com controle disperso a independência dos administradores apresenta relação negativa com o valor da empresa, enquanto a avaliação dos administradores tem relação positiva. </w:t>
      </w:r>
      <w:bookmarkStart w:id="9" w:name="_Toc39830497"/>
      <w:r w:rsidRPr="006F06E0">
        <w:rPr>
          <w:rFonts w:ascii="Arial" w:eastAsia="Calibri" w:hAnsi="Arial" w:cs="Arial"/>
          <w:spacing w:val="4"/>
          <w:sz w:val="18"/>
          <w:szCs w:val="18"/>
          <w:lang w:eastAsia="en-US"/>
        </w:rPr>
        <w:t xml:space="preserve">A independência dos administradores em relação aos acionistas reduz o poder de monitoramento dos acionistas sobre os gestores, o que pode aumentar o poder gerencial e o risco de decisões gerenciais em desacordo com os objetivos dos acionistas, favorecendo o entrincheiramento gerencial (Morck et al., 1988). A avaliação sistemática dos administradores, por outro lado, é uma medida de incentivo implícito que pode contribuir para otimizar o desempenho de conselheiros e diretores (Grupo de Trabalho Interagentes, 2016). Em empresas cujo principal conflito de agência se dá na relação entre acionistas dispersos e diretores executivos, esperava-se que a separação entre conselho de administração e diretoria executiva e o tipo de remuneração concedido aos executivos contribuam para o alinhamento de interesses (Bebchuk &amp; Hamdani, 2009; Hassen et al., 2015). Entretanto, os resultados sugerem que no mercado de capitais brasileiros estas práticas não são vistas por investidores como elementos que agregam valor às empresas com controle disperso.  </w:t>
      </w:r>
    </w:p>
    <w:p w14:paraId="09A6AEEA" w14:textId="77777777" w:rsidR="006B566E" w:rsidRPr="008D299A" w:rsidRDefault="006B566E" w:rsidP="008D299A">
      <w:pPr>
        <w:widowControl/>
        <w:spacing w:before="240" w:line="240" w:lineRule="auto"/>
        <w:ind w:firstLine="709"/>
        <w:rPr>
          <w:rFonts w:ascii="Arial" w:eastAsia="Calibri" w:hAnsi="Arial" w:cs="Arial"/>
          <w:sz w:val="18"/>
          <w:szCs w:val="18"/>
          <w:lang w:eastAsia="en-US"/>
        </w:rPr>
      </w:pPr>
      <w:r w:rsidRPr="008D299A">
        <w:rPr>
          <w:rFonts w:ascii="Arial" w:eastAsia="Calibri" w:hAnsi="Arial" w:cs="Arial"/>
          <w:sz w:val="18"/>
          <w:szCs w:val="18"/>
          <w:lang w:eastAsia="en-US"/>
        </w:rPr>
        <w:t>Nas empresas com controle compartilhado a remuneração dos executivos está positivamente relacionada com o valor da empresa, ao passo que a remuneração do conselho de administração tem relação negativa. Nesta configuração acionária observa-se maior dispersão do controle (Carvalhal, 2012), e atrelar parte da remuneração dos executivos a objetivos de curto e longo prazo pode ser utilizada como mecanismo de alinhamento de interesses entre acionistas controladores e executivos (Hassen et al., 2015). O conselho de administração, por sua vez, tem funções de controle (Fama &amp; Jensen, 1983), motivo pelo qual a remuneração atrelada a resultados não é recomendada para integrantes deste órgão (Grupo de Trabalho Interagentes, 2016). Não se pode afirmar que a menor independência dos órgãos de administração das empresas com controle compartilhado (Tabela 8) é vista por investidores no mercado de ações brasileiro como indicativo de maior risco de expropriação, uma vez que há evidência inconsistente de que esta característica tenha relação com o valor da empresa. Dada a maior dispersão do controle das empresas com controle compartilhado (Crisóstomo &amp; Brandão, 2019), a sobreposição entre acionista controlador e conselho de administração pode estar sendo interpretada como um mecanismo de monitoramento das ações dos diretores executivos.</w:t>
      </w:r>
    </w:p>
    <w:p w14:paraId="5A91092B" w14:textId="77777777" w:rsidR="006B566E" w:rsidRPr="006F06E0" w:rsidRDefault="006B566E" w:rsidP="008D299A">
      <w:pPr>
        <w:widowControl/>
        <w:spacing w:before="240" w:line="240" w:lineRule="auto"/>
        <w:ind w:firstLine="709"/>
        <w:rPr>
          <w:rFonts w:ascii="Arial" w:eastAsia="Calibri" w:hAnsi="Arial" w:cs="Arial"/>
          <w:sz w:val="18"/>
          <w:szCs w:val="18"/>
          <w:lang w:eastAsia="en-US"/>
        </w:rPr>
      </w:pPr>
      <w:r w:rsidRPr="006F06E0">
        <w:rPr>
          <w:rFonts w:ascii="Arial" w:eastAsia="Calibri" w:hAnsi="Arial" w:cs="Arial"/>
          <w:sz w:val="18"/>
          <w:szCs w:val="18"/>
          <w:lang w:eastAsia="en-US"/>
        </w:rPr>
        <w:t>Nas empresas com controle familiar observa-se que a sobreposição existente entre propriedade e administração é vista por investidores como um indicativo de maior risco de expropriação de sua riqueza. Os resultados apontam que a independência dos administradores e a separação entre os órgãos de administração são características positivamente relacionadas com o valor da empresa. O risco de expropriação de acionistas minoritários torna-se maior em empresas familiares, uma vez que os membros da família podem estar interessados ​​em manter benefícios privados de controle (Ali &amp; Lesage, 2013). A menor independência dos órgãos de administração em relação à família controladora e a presença de executivos no conselho de administração indicam a sobreposição entre propriedade e administração (Tabela 8). Neste contexto, gestores podem alocar recursos de forma a atender às preferências pessoais da família controladora, e não numa perspectiva de maximização de valor (Gadhoum, 2006). Observa-se também que as características relativas a mecanismos de incentivo (remuneração e avaliação dos administradores) não apresentam relação com o valor das empresas com controle familiar, o que sugere que investidores considerem tais mecanismos desnecessários em empresas cujo acionista controlador detém o controle sobre os órgãos de administração.</w:t>
      </w:r>
    </w:p>
    <w:p w14:paraId="09199F60" w14:textId="77777777" w:rsidR="006B566E" w:rsidRPr="008D299A" w:rsidRDefault="006B566E" w:rsidP="008D299A">
      <w:pPr>
        <w:widowControl/>
        <w:spacing w:before="240" w:line="240" w:lineRule="auto"/>
        <w:ind w:firstLine="709"/>
        <w:rPr>
          <w:rFonts w:ascii="Arial" w:eastAsia="Calibri" w:hAnsi="Arial" w:cs="Arial"/>
          <w:sz w:val="18"/>
          <w:szCs w:val="18"/>
          <w:lang w:eastAsia="en-US"/>
        </w:rPr>
      </w:pPr>
      <w:r w:rsidRPr="008D299A">
        <w:rPr>
          <w:rFonts w:ascii="Arial" w:eastAsia="Calibri" w:hAnsi="Arial" w:cs="Arial"/>
          <w:sz w:val="18"/>
          <w:szCs w:val="18"/>
          <w:lang w:eastAsia="en-US"/>
        </w:rPr>
        <w:t xml:space="preserve">Nas empresas controladas por grupos empresariais os resultados não permitem afirmar que as características dos órgãos de administração afetam o valor da empresa. Embora se tenha observado que há sobreposição entre acionista controlador e os órgãos da administração destas empresas (Tabela 8), não há evidência de que os investidores vejam a participação da empresa controladora na administração da empresa controlada como uma característica negativa, o que pode indicar um efeito monitoramento (Bozec &amp; Bozec, 2007). Fazer parte de um grupo econômico pode beneficiar empresas controladas, particularmente em mercados emergentes, uma vez que o uso de </w:t>
      </w:r>
      <w:r w:rsidRPr="008D299A">
        <w:rPr>
          <w:rFonts w:ascii="Arial" w:eastAsia="Calibri" w:hAnsi="Arial" w:cs="Arial"/>
          <w:sz w:val="18"/>
          <w:szCs w:val="18"/>
          <w:lang w:eastAsia="en-US"/>
        </w:rPr>
        <w:lastRenderedPageBreak/>
        <w:t>mercados internos de fatores pode superar mercados externos ausentes ou incompletos (Claessens &amp; Yurtoglu, 2013). A presença de representantes da empresa controladora o conselho de administração e na diretoria executiva da empresa controlada, neste sentido, pode contribuir para o alinhamento de interesses entre controlada e controladora.</w:t>
      </w:r>
    </w:p>
    <w:p w14:paraId="3703D6CE" w14:textId="77777777" w:rsidR="006B566E" w:rsidRPr="00A5556A" w:rsidRDefault="006B566E" w:rsidP="008D299A">
      <w:pPr>
        <w:widowControl/>
        <w:spacing w:before="240" w:line="240" w:lineRule="auto"/>
        <w:ind w:firstLine="709"/>
        <w:rPr>
          <w:rFonts w:ascii="Arial" w:eastAsia="Calibri" w:hAnsi="Arial" w:cs="Arial"/>
          <w:spacing w:val="4"/>
          <w:sz w:val="18"/>
          <w:szCs w:val="18"/>
          <w:lang w:eastAsia="en-US"/>
        </w:rPr>
      </w:pPr>
      <w:r w:rsidRPr="00A5556A">
        <w:rPr>
          <w:rFonts w:ascii="Arial" w:eastAsia="Calibri" w:hAnsi="Arial" w:cs="Arial"/>
          <w:spacing w:val="4"/>
          <w:sz w:val="18"/>
          <w:szCs w:val="18"/>
          <w:lang w:eastAsia="en-US"/>
        </w:rPr>
        <w:t>Nas empresas com controle governamental, o valor da empresa apresenta relação negativa com a remuneração variável e de longo prazo concedida a conselheiros. Conforme mencionado, a remuneração atrelada a resultados não é recomendada membros do conselho de administração (Grupo de Trabalho Interagentes, 2016). A ausência de remuneração de diretores executivos atrelada aos resultados e ao valor das empresas, característica das empresas com controle governamental, não afeta o valor destas empresas, o que sugere que a presença de ente governamental como acionista controlador substitui a remuneração dos executivos como mecanismo de alinhamento de interesses entre acionistas e gestores (Core et al., 1999). Outro ponto a destacar é a ausência de relação significante do valor das empresas com controle governamental com a independência e a avaliação dos órgãos de administração. Embora as empresas com controle governamental tenham alto índice de adesão a estas práticas (Tabela 7), não há indícios de que os investidores estejam considerando que esta adesão torne a governança corporativa destas empresas mais eficaz.</w:t>
      </w:r>
    </w:p>
    <w:p w14:paraId="295467C4" w14:textId="77777777" w:rsidR="006B566E" w:rsidRPr="008D299A" w:rsidRDefault="006B566E" w:rsidP="008D299A">
      <w:pPr>
        <w:widowControl/>
        <w:spacing w:before="240" w:line="240" w:lineRule="auto"/>
        <w:ind w:firstLine="709"/>
        <w:rPr>
          <w:rFonts w:ascii="Arial" w:eastAsia="Calibri" w:hAnsi="Arial" w:cs="Arial"/>
          <w:sz w:val="18"/>
          <w:szCs w:val="18"/>
          <w:lang w:eastAsia="en-US"/>
        </w:rPr>
      </w:pPr>
      <w:r w:rsidRPr="008D299A">
        <w:rPr>
          <w:rFonts w:ascii="Arial" w:eastAsia="Calibri" w:hAnsi="Arial" w:cs="Arial"/>
          <w:sz w:val="18"/>
          <w:szCs w:val="18"/>
          <w:lang w:eastAsia="en-US"/>
        </w:rPr>
        <w:t>Em síntese, os testes realizados indicam que as características da administração das empresas brasileiras estão relacionadas com o tipo de controle acionário, e que a relação entre estas características e o valor de mercado das empresas depende do tipo de controle acionário. A sobreposição entre controle acionário e características da administração é verificada nas empresas com controle definido, em especial familiar e empresarial, em que se observa menor independência do conselho de administração e da diretoria executiva e sobreposição entre estes órgãos. Mecanismos de incentivo, por sua vez, são menos adotados por empresas com controle familiar (avaliação dos administradores) e governamental (remuneração variável e de longo prazo da diretoria executiva). A análise da relação entre valor da empresa e caraterísticas da administração sugere que apenas nas empresas com controle familiar os investidores estão considerando como indícios de expropriação a menor independência e a sobreposição do conselho de administração e da diretoria executiva. Os resultados para os demais tipos de controle acionário sugerem a prevalência do efeito monitoramento.</w:t>
      </w:r>
    </w:p>
    <w:p w14:paraId="261D9642" w14:textId="77777777" w:rsidR="006B566E" w:rsidRPr="008D299A" w:rsidRDefault="008D299A" w:rsidP="008D299A">
      <w:pPr>
        <w:keepNext/>
        <w:keepLines/>
        <w:widowControl/>
        <w:spacing w:before="360" w:after="240" w:line="240" w:lineRule="auto"/>
        <w:outlineLvl w:val="0"/>
        <w:rPr>
          <w:rFonts w:ascii="Arial" w:hAnsi="Arial" w:cs="Arial"/>
          <w:b/>
          <w:sz w:val="20"/>
          <w:szCs w:val="20"/>
          <w:lang w:val="x-none" w:eastAsia="x-none"/>
        </w:rPr>
      </w:pPr>
      <w:r w:rsidRPr="008D299A">
        <w:rPr>
          <w:rFonts w:ascii="Arial" w:hAnsi="Arial" w:cs="Arial"/>
          <w:b/>
          <w:sz w:val="20"/>
          <w:szCs w:val="20"/>
          <w:lang w:eastAsia="x-none"/>
        </w:rPr>
        <w:t xml:space="preserve">5 </w:t>
      </w:r>
      <w:r w:rsidR="006B566E" w:rsidRPr="008D299A">
        <w:rPr>
          <w:rFonts w:ascii="Arial" w:hAnsi="Arial" w:cs="Arial"/>
          <w:b/>
          <w:sz w:val="20"/>
          <w:szCs w:val="20"/>
          <w:lang w:val="x-none" w:eastAsia="x-none"/>
        </w:rPr>
        <w:t>CONCLUSÃO</w:t>
      </w:r>
    </w:p>
    <w:p w14:paraId="581A2376" w14:textId="77777777" w:rsidR="006B566E" w:rsidRPr="007067D5" w:rsidRDefault="006B566E" w:rsidP="007067D5">
      <w:pPr>
        <w:widowControl/>
        <w:spacing w:before="240" w:line="240" w:lineRule="auto"/>
        <w:ind w:firstLine="709"/>
        <w:rPr>
          <w:rFonts w:ascii="Arial" w:eastAsia="Calibri" w:hAnsi="Arial" w:cs="Arial"/>
          <w:sz w:val="18"/>
          <w:szCs w:val="18"/>
          <w:lang w:eastAsia="en-US"/>
        </w:rPr>
      </w:pPr>
      <w:r w:rsidRPr="007067D5">
        <w:rPr>
          <w:rFonts w:ascii="Arial" w:eastAsia="Calibri" w:hAnsi="Arial" w:cs="Arial"/>
          <w:sz w:val="18"/>
          <w:szCs w:val="18"/>
          <w:lang w:eastAsia="en-US"/>
        </w:rPr>
        <w:t>O objetivo deste trabalho foi analisar as relações entre controle acionário, conselho de administração e diretoria executiva nas empresas brasileiras de capital aberto, e o efeito destas relações sobre o valor da empresa. Os resultados dão suporte às duas hipóteses de pesquisa, de que o tipo de controle acionário afeta as características da administração e que a relação destas características com o valor da empresa depende do tipo de controle acionário.</w:t>
      </w:r>
    </w:p>
    <w:p w14:paraId="7DCF5CA0" w14:textId="77777777" w:rsidR="006B566E" w:rsidRPr="007067D5" w:rsidRDefault="006B566E" w:rsidP="007067D5">
      <w:pPr>
        <w:widowControl/>
        <w:spacing w:before="240" w:line="240" w:lineRule="auto"/>
        <w:ind w:firstLine="709"/>
        <w:rPr>
          <w:rFonts w:ascii="Arial" w:eastAsia="Calibri" w:hAnsi="Arial" w:cs="Arial"/>
          <w:sz w:val="18"/>
          <w:szCs w:val="18"/>
          <w:lang w:eastAsia="en-US"/>
        </w:rPr>
      </w:pPr>
      <w:r w:rsidRPr="007067D5">
        <w:rPr>
          <w:rFonts w:ascii="Arial" w:eastAsia="Calibri" w:hAnsi="Arial" w:cs="Arial"/>
          <w:sz w:val="18"/>
          <w:szCs w:val="18"/>
          <w:lang w:eastAsia="en-US"/>
        </w:rPr>
        <w:t xml:space="preserve">O trabalho contribui com a literatura em governança corporativa, em especial aplicada a mercados de capitais em que predominam empresas com controle acionário definido. Os resultados mostraram que existe nestas empresas sobreposição entre propriedade e administração, mas que esta sobreposição não é vista pelos investidores apenas como indicativo de maior risco de expropriação. A depender do tipo de controle acionário, a independência dos administradores em relação aos acionistas, a separação entre conselho de administração e diretoria executiva, a presença de avaliação formal e o tipo de remuneração concedido aos administradores podem elevar ou destruir o valor da empresa, sugerindo que podem funcionar como mecanismos de monitoramento ou facilitar a expropriação da riqueza da empresa por parte dos acionistas controladores. Estes achados ressaltam a importância de se analisar aa identidade do acionista controlador para compreender os conflitos de agência existentes nas empresas e o papel dos órgãos da administração para a governança corporativa. </w:t>
      </w:r>
    </w:p>
    <w:p w14:paraId="17216282" w14:textId="77777777" w:rsidR="006B566E" w:rsidRPr="007067D5" w:rsidRDefault="006B566E" w:rsidP="007067D5">
      <w:pPr>
        <w:widowControl/>
        <w:spacing w:before="240" w:line="240" w:lineRule="auto"/>
        <w:ind w:firstLine="709"/>
        <w:rPr>
          <w:rFonts w:ascii="Arial" w:eastAsia="Calibri" w:hAnsi="Arial" w:cs="Arial"/>
          <w:sz w:val="18"/>
          <w:szCs w:val="18"/>
          <w:lang w:eastAsia="en-US"/>
        </w:rPr>
      </w:pPr>
      <w:r w:rsidRPr="007067D5">
        <w:rPr>
          <w:rFonts w:ascii="Arial" w:eastAsia="Calibri" w:hAnsi="Arial" w:cs="Arial"/>
          <w:sz w:val="18"/>
          <w:szCs w:val="18"/>
          <w:lang w:eastAsia="en-US"/>
        </w:rPr>
        <w:t xml:space="preserve">Na prática, o trabalho trouxe novas evidências de que as empresas participantes do mercado de capitais brasileiro têm controle acionário heterogêneo. Embora o controle familiar ainda seja o que apresenta maior participação no mercado, observou-se relevante número de empresas com controle disperso, compartilhado, empresarial e governamental. </w:t>
      </w:r>
      <w:bookmarkStart w:id="10" w:name="_Hlk107907063"/>
      <w:r w:rsidRPr="007067D5">
        <w:rPr>
          <w:rFonts w:ascii="Arial" w:eastAsia="Calibri" w:hAnsi="Arial" w:cs="Arial"/>
          <w:sz w:val="18"/>
          <w:szCs w:val="18"/>
          <w:lang w:eastAsia="en-US"/>
        </w:rPr>
        <w:t xml:space="preserve">Os resultados indicam que determinadas </w:t>
      </w:r>
      <w:r w:rsidRPr="007067D5">
        <w:rPr>
          <w:rFonts w:ascii="Arial" w:eastAsia="Calibri" w:hAnsi="Arial" w:cs="Arial"/>
          <w:sz w:val="18"/>
          <w:szCs w:val="18"/>
          <w:lang w:eastAsia="en-US"/>
        </w:rPr>
        <w:lastRenderedPageBreak/>
        <w:t>características do conselho de administração e da diretoria executiva podem agregar valor em umas empresas e em outras não, e que o controle acionário pode ajudar a explicar estas diferenças.</w:t>
      </w:r>
      <w:bookmarkEnd w:id="10"/>
      <w:r w:rsidRPr="007067D5">
        <w:rPr>
          <w:rFonts w:ascii="Arial" w:eastAsia="Calibri" w:hAnsi="Arial" w:cs="Arial"/>
          <w:sz w:val="18"/>
          <w:szCs w:val="18"/>
          <w:lang w:eastAsia="en-US"/>
        </w:rPr>
        <w:t xml:space="preserve"> Neste sentido, para otimizar o sistema de governança das empresas brasileiras de capital aberto e, consequentemente, gerar maior segurança para investidores no mercado de ações brasileiro, faz-se necessário o estudo mais aprofundado das questões específicas de cada tipo de controle acionário a fim de se propor uma estrutura de governança mais apropriada a cada contexto societário.</w:t>
      </w:r>
    </w:p>
    <w:p w14:paraId="76CCDCC8" w14:textId="77777777" w:rsidR="006B566E" w:rsidRPr="007067D5" w:rsidRDefault="006B566E" w:rsidP="007067D5">
      <w:pPr>
        <w:widowControl/>
        <w:spacing w:before="240" w:line="240" w:lineRule="auto"/>
        <w:ind w:firstLine="709"/>
        <w:rPr>
          <w:rFonts w:ascii="Arial" w:eastAsia="Calibri" w:hAnsi="Arial" w:cs="Arial"/>
          <w:sz w:val="18"/>
          <w:szCs w:val="18"/>
          <w:lang w:eastAsia="en-US"/>
        </w:rPr>
      </w:pPr>
      <w:r w:rsidRPr="007067D5">
        <w:rPr>
          <w:rFonts w:ascii="Arial" w:eastAsia="Calibri" w:hAnsi="Arial" w:cs="Arial"/>
          <w:sz w:val="18"/>
          <w:szCs w:val="18"/>
          <w:lang w:eastAsia="en-US"/>
        </w:rPr>
        <w:t xml:space="preserve">Dois resultados específicos do trabalho merecem destaque. Em primeiro lugar, a independência dos administradores está relacionada negativamente com o valor das empresas com controle disperso, indicando que pode elevar o risco de expropriação. Para que esta característica possa ser vista como mecanismo eficaz de governança corporativa em empresas cujo conflito de agência se centra na relação entre acionistas e executivos faz-se necessário o fortalecimento de mecanismos externos de controle das ações dos executivos, tornando o ambiente legal e regulatório do mercado de ações brasileiro mais seguro para investidores que desejam investir em empresas sem controle definido. </w:t>
      </w:r>
    </w:p>
    <w:p w14:paraId="2C3ED068" w14:textId="77777777" w:rsidR="006B566E" w:rsidRPr="007067D5" w:rsidRDefault="006B566E" w:rsidP="007067D5">
      <w:pPr>
        <w:widowControl/>
        <w:spacing w:before="240" w:line="240" w:lineRule="auto"/>
        <w:ind w:firstLine="709"/>
        <w:rPr>
          <w:rFonts w:ascii="Arial" w:eastAsia="Calibri" w:hAnsi="Arial" w:cs="Arial"/>
          <w:sz w:val="18"/>
          <w:szCs w:val="18"/>
          <w:lang w:eastAsia="en-US"/>
        </w:rPr>
      </w:pPr>
      <w:r w:rsidRPr="007067D5">
        <w:rPr>
          <w:rFonts w:ascii="Arial" w:eastAsia="Calibri" w:hAnsi="Arial" w:cs="Arial"/>
          <w:sz w:val="18"/>
          <w:szCs w:val="18"/>
          <w:lang w:eastAsia="en-US"/>
        </w:rPr>
        <w:t>Em segundo lugar, observou-se que separação entre propriedade e administração é característica ausente nas empresas com controle familiar, o que pode estar contribuindo para a destruição do valor destas empresas. Neste sentido, deve-se incentivar a adoção destes mecanismos nas empresas com controle familiar, ou buscar outros mecanismos de monitoramento que possam melhorar a visão que os investidores no mercado de ações têm acerca da estrutura da governança corporativa das empresas com controle familiar.</w:t>
      </w:r>
    </w:p>
    <w:p w14:paraId="00CDE10E" w14:textId="77777777" w:rsidR="006B566E" w:rsidRPr="00E10BA2" w:rsidRDefault="006B566E" w:rsidP="007067D5">
      <w:pPr>
        <w:widowControl/>
        <w:spacing w:before="240" w:line="240" w:lineRule="auto"/>
        <w:ind w:firstLine="709"/>
        <w:rPr>
          <w:rFonts w:ascii="Arial" w:eastAsia="Calibri" w:hAnsi="Arial" w:cs="Arial"/>
          <w:spacing w:val="4"/>
          <w:sz w:val="18"/>
          <w:szCs w:val="18"/>
          <w:lang w:eastAsia="en-US"/>
        </w:rPr>
      </w:pPr>
      <w:r w:rsidRPr="00E10BA2">
        <w:rPr>
          <w:rFonts w:ascii="Arial" w:eastAsia="Calibri" w:hAnsi="Arial" w:cs="Arial"/>
          <w:spacing w:val="4"/>
          <w:sz w:val="18"/>
          <w:szCs w:val="18"/>
          <w:lang w:eastAsia="en-US"/>
        </w:rPr>
        <w:t>Por fim, a abrangência da pesquisa trouxe implicações positivas e negativas para este trabalho. Por um lado, pode-se ter uma visão panorâmica do controle acionário das empresas brasileiras de capital aberto e de sua relação com o conselho de administração e a diretoria executiva destas empresas. Por outro lado, não se pode detalhar questões mais específicas de cada tipo de controle acionário e nem outras características dos órgãos de administração relevantes para a governança corporativa das empresas brasileiras. Espera-se, portanto, que futuras pesquisas possam analisar contextos societários específicos, como as empresas com controle disperso, compartilhado e empresarial, menos abordados na literatura, bem como o efeito do tipo de controle acionário sobre a adoção e eficácia de outros mecanismos de governança corporativa não abordados neste trabalho.</w:t>
      </w:r>
    </w:p>
    <w:p w14:paraId="753F7D32" w14:textId="30A0A368" w:rsidR="006B566E" w:rsidRPr="007067D5" w:rsidRDefault="006B566E" w:rsidP="007067D5">
      <w:pPr>
        <w:keepNext/>
        <w:keepLines/>
        <w:widowControl/>
        <w:spacing w:before="360" w:after="240" w:line="240" w:lineRule="auto"/>
        <w:outlineLvl w:val="0"/>
        <w:rPr>
          <w:rFonts w:ascii="Arial" w:hAnsi="Arial" w:cs="Arial"/>
          <w:b/>
          <w:sz w:val="20"/>
          <w:szCs w:val="20"/>
          <w:lang w:eastAsia="x-none"/>
        </w:rPr>
      </w:pPr>
      <w:r w:rsidRPr="007067D5">
        <w:rPr>
          <w:rFonts w:ascii="Arial" w:hAnsi="Arial" w:cs="Arial"/>
          <w:b/>
          <w:sz w:val="20"/>
          <w:szCs w:val="20"/>
          <w:lang w:eastAsia="x-none"/>
        </w:rPr>
        <w:t>REFERÊNCIAS</w:t>
      </w:r>
      <w:bookmarkEnd w:id="9"/>
      <w:r w:rsidR="00935779">
        <w:rPr>
          <w:rFonts w:ascii="Arial" w:hAnsi="Arial" w:cs="Arial"/>
          <w:b/>
          <w:sz w:val="20"/>
          <w:szCs w:val="20"/>
          <w:lang w:eastAsia="x-none"/>
        </w:rPr>
        <w:t>:</w:t>
      </w:r>
    </w:p>
    <w:p w14:paraId="1FB2E054"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Adam, C., Tene, J. K., Mucci, D. M., &amp; Beck, F. (2020). Conflitos de agência em empresas familiares de capital aberto e a composição do Conselho de Administração. </w:t>
      </w:r>
      <w:r w:rsidRPr="007067D5">
        <w:rPr>
          <w:rFonts w:ascii="Arial" w:eastAsia="Calibri" w:hAnsi="Arial" w:cs="Arial"/>
          <w:i/>
          <w:iCs/>
          <w:sz w:val="18"/>
          <w:szCs w:val="18"/>
        </w:rPr>
        <w:t>Revista Contemporânea de Contabilidade, 17</w:t>
      </w:r>
      <w:r w:rsidRPr="007067D5">
        <w:rPr>
          <w:rFonts w:ascii="Arial" w:eastAsia="Calibri" w:hAnsi="Arial" w:cs="Arial"/>
          <w:sz w:val="18"/>
          <w:szCs w:val="18"/>
        </w:rPr>
        <w:t>(45), 19-32. https://doi.org/10.5007/2175-8069.2020v17n45p19</w:t>
      </w:r>
    </w:p>
    <w:p w14:paraId="2C54AA98"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Aguilera, R. V., Desender, K., Castro, L. R. K. (2012). </w:t>
      </w:r>
      <w:r w:rsidRPr="007067D5">
        <w:rPr>
          <w:rFonts w:ascii="Arial" w:eastAsia="Calibri" w:hAnsi="Arial" w:cs="Arial"/>
          <w:sz w:val="18"/>
          <w:szCs w:val="18"/>
          <w:lang w:val="en-US"/>
        </w:rPr>
        <w:t xml:space="preserve">A Bundle Perspective to Comparative Corporate Governance. In: Clarke, T., &amp; Branson, D. (editors). </w:t>
      </w:r>
      <w:r w:rsidRPr="007067D5">
        <w:rPr>
          <w:rFonts w:ascii="Arial" w:eastAsia="Calibri" w:hAnsi="Arial" w:cs="Arial"/>
          <w:i/>
          <w:iCs/>
          <w:sz w:val="18"/>
          <w:szCs w:val="18"/>
          <w:lang w:val="en-US"/>
        </w:rPr>
        <w:t>Sage Handbook of corporate governance</w:t>
      </w:r>
      <w:r w:rsidRPr="007067D5">
        <w:rPr>
          <w:rFonts w:ascii="Arial" w:eastAsia="Calibri" w:hAnsi="Arial" w:cs="Arial"/>
          <w:sz w:val="18"/>
          <w:szCs w:val="18"/>
          <w:lang w:val="en-US"/>
        </w:rPr>
        <w:t>. New York: Sage Publications.</w:t>
      </w:r>
    </w:p>
    <w:p w14:paraId="472145E9"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Aldrighi, D. M., &amp; Mazzer, R., Neto. </w:t>
      </w:r>
      <w:r w:rsidRPr="007067D5">
        <w:rPr>
          <w:rFonts w:ascii="Arial" w:eastAsia="Calibri" w:hAnsi="Arial" w:cs="Arial"/>
          <w:sz w:val="18"/>
          <w:szCs w:val="18"/>
        </w:rPr>
        <w:t>(2007). Evidências sobre as estruturas de propriedade de capital e de voto das empresas de capital aberto no Brasil. </w:t>
      </w:r>
      <w:r w:rsidRPr="007067D5">
        <w:rPr>
          <w:rFonts w:ascii="Arial" w:eastAsia="Calibri" w:hAnsi="Arial" w:cs="Arial"/>
          <w:i/>
          <w:iCs/>
          <w:sz w:val="18"/>
          <w:szCs w:val="18"/>
        </w:rPr>
        <w:t>Revista Brasileira de Economia, 61</w:t>
      </w:r>
      <w:r w:rsidRPr="007067D5">
        <w:rPr>
          <w:rFonts w:ascii="Arial" w:eastAsia="Calibri" w:hAnsi="Arial" w:cs="Arial"/>
          <w:sz w:val="18"/>
          <w:szCs w:val="18"/>
        </w:rPr>
        <w:t xml:space="preserve">(2), 129-152. </w:t>
      </w:r>
      <w:hyperlink r:id="rId11" w:history="1">
        <w:r w:rsidRPr="007067D5">
          <w:rPr>
            <w:rFonts w:ascii="Arial" w:eastAsia="Calibri" w:hAnsi="Arial" w:cs="Arial"/>
            <w:sz w:val="18"/>
            <w:szCs w:val="18"/>
            <w:lang w:val="en-US"/>
          </w:rPr>
          <w:t>https://doi.org/10.1590/S0034-71402007000200001</w:t>
        </w:r>
      </w:hyperlink>
    </w:p>
    <w:p w14:paraId="6283DA6D"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Ali, C. B., &amp; Lesage, C. (2013). Audit pricing and nature of controlling shareholders: Evidence from France. </w:t>
      </w:r>
      <w:r w:rsidRPr="007067D5">
        <w:rPr>
          <w:rFonts w:ascii="Arial" w:eastAsia="Calibri" w:hAnsi="Arial" w:cs="Arial"/>
          <w:i/>
          <w:iCs/>
          <w:sz w:val="18"/>
          <w:szCs w:val="18"/>
          <w:lang w:val="en-US"/>
        </w:rPr>
        <w:t>China Journal of Accounting Research, 6</w:t>
      </w:r>
      <w:r w:rsidRPr="007067D5">
        <w:rPr>
          <w:rFonts w:ascii="Arial" w:eastAsia="Calibri" w:hAnsi="Arial" w:cs="Arial"/>
          <w:sz w:val="18"/>
          <w:szCs w:val="18"/>
          <w:lang w:val="en-US"/>
        </w:rPr>
        <w:t xml:space="preserve">(1), 21-34. </w:t>
      </w:r>
      <w:hyperlink r:id="rId12" w:history="1">
        <w:r w:rsidRPr="007067D5">
          <w:rPr>
            <w:rFonts w:ascii="Arial" w:eastAsia="Calibri" w:hAnsi="Arial" w:cs="Arial"/>
            <w:sz w:val="18"/>
            <w:szCs w:val="18"/>
            <w:lang w:val="en-US" w:eastAsia="en-US"/>
          </w:rPr>
          <w:t>https://doi.org/10.1016/j.cjar.2012.08.002</w:t>
        </w:r>
      </w:hyperlink>
    </w:p>
    <w:p w14:paraId="775F7F2E"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Andrade, L. P., Bressan, A. A., &amp; Iquiapaza, R. A. (2014). Estrutura Piramidal de Controle, Emissão de Duas Classes de Ações e Desempenho Financeiro das Empresas Brasileiras. </w:t>
      </w:r>
      <w:r w:rsidRPr="007067D5">
        <w:rPr>
          <w:rFonts w:ascii="Arial" w:eastAsia="Calibri" w:hAnsi="Arial" w:cs="Arial"/>
          <w:i/>
          <w:iCs/>
          <w:sz w:val="18"/>
          <w:szCs w:val="18"/>
        </w:rPr>
        <w:t>Revista Brasileira de Finanças, 12</w:t>
      </w:r>
      <w:r w:rsidRPr="007067D5">
        <w:rPr>
          <w:rFonts w:ascii="Arial" w:eastAsia="Calibri" w:hAnsi="Arial" w:cs="Arial"/>
          <w:sz w:val="18"/>
          <w:szCs w:val="18"/>
        </w:rPr>
        <w:t xml:space="preserve">(4), 555-595. </w:t>
      </w:r>
      <w:hyperlink r:id="rId13" w:history="1">
        <w:r w:rsidRPr="007067D5">
          <w:rPr>
            <w:rFonts w:ascii="Arial" w:eastAsia="Calibri" w:hAnsi="Arial" w:cs="Arial"/>
            <w:sz w:val="18"/>
            <w:szCs w:val="18"/>
          </w:rPr>
          <w:t>https://doi.org/10.12660/rbfin.v12n4.2014.24499</w:t>
        </w:r>
      </w:hyperlink>
    </w:p>
    <w:p w14:paraId="259F0405"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Andrade, L. P., Bressan, A. A., &amp; Iquiapaza, R. A. (2017). </w:t>
      </w:r>
      <w:r w:rsidRPr="007067D5">
        <w:rPr>
          <w:rFonts w:ascii="Arial" w:eastAsia="Calibri" w:hAnsi="Arial" w:cs="Arial"/>
          <w:sz w:val="18"/>
          <w:szCs w:val="18"/>
          <w:lang w:val="en-US"/>
        </w:rPr>
        <w:t>Dual class shares, board of directors’ effectiveness and firm’s market value: an empirical study. </w:t>
      </w:r>
      <w:r w:rsidRPr="007067D5">
        <w:rPr>
          <w:rFonts w:ascii="Arial" w:eastAsia="Calibri" w:hAnsi="Arial" w:cs="Arial"/>
          <w:i/>
          <w:iCs/>
          <w:sz w:val="18"/>
          <w:szCs w:val="18"/>
          <w:lang w:val="en-US"/>
        </w:rPr>
        <w:t>Journal of Management &amp; Governance, 21</w:t>
      </w:r>
      <w:r w:rsidRPr="007067D5">
        <w:rPr>
          <w:rFonts w:ascii="Arial" w:eastAsia="Calibri" w:hAnsi="Arial" w:cs="Arial"/>
          <w:sz w:val="18"/>
          <w:szCs w:val="18"/>
          <w:lang w:val="en-US"/>
        </w:rPr>
        <w:t xml:space="preserve">(4), 1053-1092. </w:t>
      </w:r>
      <w:hyperlink r:id="rId14" w:history="1">
        <w:r w:rsidRPr="007067D5">
          <w:rPr>
            <w:rFonts w:ascii="Arial" w:eastAsia="Calibri" w:hAnsi="Arial" w:cs="Arial"/>
            <w:sz w:val="18"/>
            <w:szCs w:val="18"/>
            <w:lang w:val="en-US" w:eastAsia="en-US"/>
          </w:rPr>
          <w:t>https://doi.org/10.1007/s10997-017-9375-7</w:t>
        </w:r>
      </w:hyperlink>
    </w:p>
    <w:p w14:paraId="6069F47A"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Anjos, L. C. M. dos, Tavares, M. F. N., Monte, P. A. do, &amp; Lustosa, P. R. B. (2015). </w:t>
      </w:r>
      <w:r w:rsidRPr="007067D5">
        <w:rPr>
          <w:rFonts w:ascii="Arial" w:eastAsia="Calibri" w:hAnsi="Arial" w:cs="Arial"/>
          <w:sz w:val="18"/>
          <w:szCs w:val="18"/>
        </w:rPr>
        <w:t>Relações entre controle acionário e remuneração de executivos. </w:t>
      </w:r>
      <w:r w:rsidRPr="007067D5">
        <w:rPr>
          <w:rFonts w:ascii="Arial" w:eastAsia="Calibri" w:hAnsi="Arial" w:cs="Arial"/>
          <w:i/>
          <w:iCs/>
          <w:sz w:val="18"/>
          <w:szCs w:val="18"/>
        </w:rPr>
        <w:t>Enfoque: Reflexão Contábil, 34</w:t>
      </w:r>
      <w:r w:rsidRPr="007067D5">
        <w:rPr>
          <w:rFonts w:ascii="Arial" w:eastAsia="Calibri" w:hAnsi="Arial" w:cs="Arial"/>
          <w:sz w:val="18"/>
          <w:szCs w:val="18"/>
        </w:rPr>
        <w:t xml:space="preserve">(1), 45-56. </w:t>
      </w:r>
      <w:hyperlink r:id="rId15" w:history="1">
        <w:r w:rsidRPr="007067D5">
          <w:rPr>
            <w:rFonts w:ascii="Arial" w:eastAsia="Calibri" w:hAnsi="Arial" w:cs="Arial"/>
            <w:sz w:val="18"/>
            <w:szCs w:val="18"/>
          </w:rPr>
          <w:t>https://doi.org/10.4025/enfoque.v34i1.22493</w:t>
        </w:r>
      </w:hyperlink>
    </w:p>
    <w:p w14:paraId="5BD4E328"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lastRenderedPageBreak/>
        <w:t xml:space="preserve">Ararat, M., Claessens, S., &amp; Yurtoglu, B. B. (2021). </w:t>
      </w:r>
      <w:r w:rsidRPr="007067D5">
        <w:rPr>
          <w:rFonts w:ascii="Arial" w:eastAsia="Calibri" w:hAnsi="Arial" w:cs="Arial"/>
          <w:sz w:val="18"/>
          <w:szCs w:val="18"/>
          <w:lang w:val="en-US"/>
        </w:rPr>
        <w:t>Corporate governance in emerging markets: A selective review and an agenda for future research. </w:t>
      </w:r>
      <w:r w:rsidRPr="007067D5">
        <w:rPr>
          <w:rFonts w:ascii="Arial" w:eastAsia="Calibri" w:hAnsi="Arial" w:cs="Arial"/>
          <w:i/>
          <w:iCs/>
          <w:sz w:val="18"/>
          <w:szCs w:val="18"/>
          <w:lang w:val="en-US"/>
        </w:rPr>
        <w:t>Emerging Markets Review, 48</w:t>
      </w:r>
      <w:r w:rsidRPr="007067D5">
        <w:rPr>
          <w:rFonts w:ascii="Arial" w:eastAsia="Calibri" w:hAnsi="Arial" w:cs="Arial"/>
          <w:sz w:val="18"/>
          <w:szCs w:val="18"/>
          <w:lang w:val="en-US"/>
        </w:rPr>
        <w:t xml:space="preserve">, 100767. </w:t>
      </w:r>
      <w:hyperlink r:id="rId16" w:history="1">
        <w:r w:rsidRPr="007067D5">
          <w:rPr>
            <w:rFonts w:ascii="Arial" w:eastAsia="Calibri" w:hAnsi="Arial" w:cs="Arial"/>
            <w:sz w:val="18"/>
            <w:szCs w:val="18"/>
            <w:lang w:val="en-US" w:eastAsia="en-US"/>
          </w:rPr>
          <w:t>https://doi.org/10.1016/j.ememar.2020.100767</w:t>
        </w:r>
      </w:hyperlink>
    </w:p>
    <w:p w14:paraId="111B5285" w14:textId="77777777" w:rsidR="006B566E" w:rsidRPr="00FD60F3" w:rsidRDefault="006B566E" w:rsidP="007067D5">
      <w:pPr>
        <w:widowControl/>
        <w:spacing w:before="40" w:line="240" w:lineRule="auto"/>
        <w:ind w:left="284" w:hanging="284"/>
        <w:rPr>
          <w:rFonts w:ascii="Arial" w:eastAsia="Calibri" w:hAnsi="Arial" w:cs="Arial"/>
          <w:spacing w:val="4"/>
          <w:sz w:val="18"/>
          <w:szCs w:val="18"/>
          <w:lang w:val="en-US"/>
        </w:rPr>
      </w:pPr>
      <w:r w:rsidRPr="00FD60F3">
        <w:rPr>
          <w:rFonts w:ascii="Arial" w:eastAsia="Calibri" w:hAnsi="Arial" w:cs="Arial"/>
          <w:spacing w:val="4"/>
          <w:sz w:val="18"/>
          <w:szCs w:val="18"/>
          <w:lang w:val="en-US"/>
        </w:rPr>
        <w:t>Bebchuk, L. A., &amp; Hamdani, A. (2009). The elusive quest for global governance standards. </w:t>
      </w:r>
      <w:r w:rsidRPr="00FD60F3">
        <w:rPr>
          <w:rFonts w:ascii="Arial" w:eastAsia="Calibri" w:hAnsi="Arial" w:cs="Arial"/>
          <w:i/>
          <w:iCs/>
          <w:spacing w:val="4"/>
          <w:sz w:val="18"/>
          <w:szCs w:val="18"/>
          <w:lang w:val="en-US"/>
        </w:rPr>
        <w:t>University of Pennsylvania Law Review, 157</w:t>
      </w:r>
      <w:r w:rsidRPr="00FD60F3">
        <w:rPr>
          <w:rFonts w:ascii="Arial" w:eastAsia="Calibri" w:hAnsi="Arial" w:cs="Arial"/>
          <w:spacing w:val="4"/>
          <w:sz w:val="18"/>
          <w:szCs w:val="18"/>
          <w:lang w:val="en-US"/>
        </w:rPr>
        <w:t xml:space="preserve">(5), 1263-1317. </w:t>
      </w:r>
      <w:hyperlink r:id="rId17" w:history="1">
        <w:r w:rsidRPr="00FD60F3">
          <w:rPr>
            <w:rFonts w:ascii="Arial" w:eastAsia="Calibri" w:hAnsi="Arial" w:cs="Arial"/>
            <w:spacing w:val="4"/>
            <w:sz w:val="18"/>
            <w:szCs w:val="18"/>
            <w:lang w:val="en-US" w:eastAsia="en-US"/>
          </w:rPr>
          <w:t>https://www.jstor.org/stable/40380267</w:t>
        </w:r>
      </w:hyperlink>
    </w:p>
    <w:p w14:paraId="60397BC0"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D428F4">
        <w:rPr>
          <w:rFonts w:ascii="Arial" w:eastAsia="Calibri" w:hAnsi="Arial" w:cs="Arial"/>
          <w:sz w:val="18"/>
          <w:szCs w:val="18"/>
          <w:lang w:val="en-US"/>
        </w:rPr>
        <w:t xml:space="preserve">Bianchi, M., Bianco, M., &amp; Enriques, L. (2001). </w:t>
      </w:r>
      <w:r w:rsidRPr="007067D5">
        <w:rPr>
          <w:rFonts w:ascii="Arial" w:eastAsia="Calibri" w:hAnsi="Arial" w:cs="Arial"/>
          <w:sz w:val="18"/>
          <w:szCs w:val="18"/>
          <w:lang w:val="en-US"/>
        </w:rPr>
        <w:t xml:space="preserve">Pyramidal groups and the separation between ownership and control in Italy. In: Barca, F., &amp; Becht, M. </w:t>
      </w:r>
      <w:r w:rsidRPr="007067D5">
        <w:rPr>
          <w:rFonts w:ascii="Arial" w:eastAsia="Calibri" w:hAnsi="Arial" w:cs="Arial"/>
          <w:i/>
          <w:iCs/>
          <w:sz w:val="18"/>
          <w:szCs w:val="18"/>
          <w:lang w:val="en-US"/>
        </w:rPr>
        <w:t>The control of corporate Europe</w:t>
      </w:r>
      <w:r w:rsidRPr="007067D5">
        <w:rPr>
          <w:rFonts w:ascii="Arial" w:eastAsia="Calibri" w:hAnsi="Arial" w:cs="Arial"/>
          <w:sz w:val="18"/>
          <w:szCs w:val="18"/>
          <w:lang w:val="en-US"/>
        </w:rPr>
        <w:t xml:space="preserve">. Oxford: Oxford University Press, 154-186. </w:t>
      </w:r>
      <w:hyperlink r:id="rId18" w:history="1">
        <w:r w:rsidRPr="007067D5">
          <w:rPr>
            <w:rFonts w:ascii="Arial" w:eastAsia="Calibri" w:hAnsi="Arial" w:cs="Arial"/>
            <w:sz w:val="18"/>
            <w:szCs w:val="18"/>
            <w:lang w:val="en-US" w:eastAsia="en-US"/>
          </w:rPr>
          <w:t>https://doi.org/10.1093/0199257531.003.0006</w:t>
        </w:r>
      </w:hyperlink>
    </w:p>
    <w:p w14:paraId="184D60E0" w14:textId="64C808CE"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Bozec, Y., &amp; Bozec, R. (2007). Ownership concentration and corporate governance practices: substitution or expropriation effects? </w:t>
      </w:r>
      <w:r w:rsidRPr="007067D5">
        <w:rPr>
          <w:rFonts w:ascii="Arial" w:eastAsia="Calibri" w:hAnsi="Arial" w:cs="Arial"/>
          <w:i/>
          <w:iCs/>
          <w:sz w:val="18"/>
          <w:szCs w:val="18"/>
          <w:lang w:val="en-US"/>
        </w:rPr>
        <w:t>Canadian Journal of Administrative Sciences, 24</w:t>
      </w:r>
      <w:r w:rsidRPr="007067D5">
        <w:rPr>
          <w:rFonts w:ascii="Arial" w:eastAsia="Calibri" w:hAnsi="Arial" w:cs="Arial"/>
          <w:sz w:val="18"/>
          <w:szCs w:val="18"/>
          <w:lang w:val="en-US"/>
        </w:rPr>
        <w:t xml:space="preserve">(3), 182-195. </w:t>
      </w:r>
    </w:p>
    <w:p w14:paraId="6B8A28F8"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Brandão, I. F., Vasconcelos, A. C. D., Luca, M. M. M. De, &amp; Crisóstomo, V. L. (2019). </w:t>
      </w:r>
      <w:r w:rsidRPr="007067D5">
        <w:rPr>
          <w:rFonts w:ascii="Arial" w:eastAsia="Calibri" w:hAnsi="Arial" w:cs="Arial"/>
          <w:sz w:val="18"/>
          <w:szCs w:val="18"/>
        </w:rPr>
        <w:t>Composição do conselho de administração e sensibilidade da remuneração executiva ao desempenho de mercado. </w:t>
      </w:r>
      <w:r w:rsidRPr="007067D5">
        <w:rPr>
          <w:rFonts w:ascii="Arial" w:eastAsia="Calibri" w:hAnsi="Arial" w:cs="Arial"/>
          <w:i/>
          <w:iCs/>
          <w:sz w:val="18"/>
          <w:szCs w:val="18"/>
          <w:lang w:val="en-US"/>
        </w:rPr>
        <w:t>Revista Contabilidade &amp; Finanças, 30</w:t>
      </w:r>
      <w:r w:rsidRPr="007067D5">
        <w:rPr>
          <w:rFonts w:ascii="Arial" w:eastAsia="Calibri" w:hAnsi="Arial" w:cs="Arial"/>
          <w:sz w:val="18"/>
          <w:szCs w:val="18"/>
          <w:lang w:val="en-US"/>
        </w:rPr>
        <w:t xml:space="preserve">(79), 28-41.  </w:t>
      </w:r>
      <w:hyperlink r:id="rId19" w:history="1">
        <w:r w:rsidRPr="007067D5">
          <w:rPr>
            <w:rFonts w:ascii="Arial" w:eastAsia="Calibri" w:hAnsi="Arial" w:cs="Arial"/>
            <w:sz w:val="18"/>
            <w:szCs w:val="18"/>
            <w:lang w:val="en-US" w:eastAsia="en-US"/>
          </w:rPr>
          <w:t>https://doi.org/10.1590/1808-057x201806610</w:t>
        </w:r>
      </w:hyperlink>
    </w:p>
    <w:p w14:paraId="2E52A9C1"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Carvalhal, A. (2012). Do shareholder agreements affect market valuation? Evidence from Brazilian listed firms. </w:t>
      </w:r>
      <w:r w:rsidRPr="007067D5">
        <w:rPr>
          <w:rFonts w:ascii="Arial" w:eastAsia="Calibri" w:hAnsi="Arial" w:cs="Arial"/>
          <w:i/>
          <w:iCs/>
          <w:sz w:val="18"/>
          <w:szCs w:val="18"/>
          <w:lang w:val="en-US"/>
        </w:rPr>
        <w:t>Journal of Corporate Finance, 18</w:t>
      </w:r>
      <w:r w:rsidRPr="007067D5">
        <w:rPr>
          <w:rFonts w:ascii="Arial" w:eastAsia="Calibri" w:hAnsi="Arial" w:cs="Arial"/>
          <w:sz w:val="18"/>
          <w:szCs w:val="18"/>
          <w:lang w:val="en-US"/>
        </w:rPr>
        <w:t xml:space="preserve">(4), 919-933. </w:t>
      </w:r>
      <w:hyperlink r:id="rId20" w:history="1">
        <w:r w:rsidRPr="007067D5">
          <w:rPr>
            <w:rFonts w:ascii="Arial" w:eastAsia="Calibri" w:hAnsi="Arial" w:cs="Arial"/>
            <w:sz w:val="18"/>
            <w:szCs w:val="18"/>
            <w:lang w:val="en-US" w:eastAsia="en-US"/>
          </w:rPr>
          <w:t>https://doi.org/10.1016/j.jcorpfin.2012.04.003</w:t>
        </w:r>
      </w:hyperlink>
    </w:p>
    <w:p w14:paraId="34472E1A"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Claessens, S., &amp; Yurtoglu, B. B. (2013). </w:t>
      </w:r>
      <w:r w:rsidRPr="007067D5">
        <w:rPr>
          <w:rFonts w:ascii="Arial" w:eastAsia="Calibri" w:hAnsi="Arial" w:cs="Arial"/>
          <w:sz w:val="18"/>
          <w:szCs w:val="18"/>
          <w:lang w:val="en-US"/>
        </w:rPr>
        <w:t>Corporate governance in emerging markets: A survey</w:t>
      </w:r>
      <w:r w:rsidRPr="007067D5">
        <w:rPr>
          <w:rFonts w:ascii="Arial" w:eastAsia="Calibri" w:hAnsi="Arial" w:cs="Arial"/>
          <w:i/>
          <w:iCs/>
          <w:sz w:val="18"/>
          <w:szCs w:val="18"/>
          <w:lang w:val="en-US"/>
        </w:rPr>
        <w:t>. Emerging Markets Review, 15</w:t>
      </w:r>
      <w:r w:rsidRPr="007067D5">
        <w:rPr>
          <w:rFonts w:ascii="Arial" w:eastAsia="Calibri" w:hAnsi="Arial" w:cs="Arial"/>
          <w:sz w:val="18"/>
          <w:szCs w:val="18"/>
          <w:lang w:val="en-US"/>
        </w:rPr>
        <w:t xml:space="preserve">, 1-33. </w:t>
      </w:r>
      <w:hyperlink r:id="rId21" w:history="1">
        <w:r w:rsidRPr="007067D5">
          <w:rPr>
            <w:rFonts w:ascii="Arial" w:eastAsia="Calibri" w:hAnsi="Arial" w:cs="Arial"/>
            <w:sz w:val="18"/>
            <w:szCs w:val="18"/>
            <w:lang w:val="en-US" w:eastAsia="en-US"/>
          </w:rPr>
          <w:t>https://doi.org/10.1016/j.ememar.2012.03.002</w:t>
        </w:r>
      </w:hyperlink>
    </w:p>
    <w:p w14:paraId="29C05EE2" w14:textId="77777777" w:rsidR="006B566E" w:rsidRPr="00FD60F3" w:rsidRDefault="006B566E" w:rsidP="007067D5">
      <w:pPr>
        <w:widowControl/>
        <w:spacing w:before="40" w:line="240" w:lineRule="auto"/>
        <w:ind w:left="284" w:hanging="284"/>
        <w:rPr>
          <w:rFonts w:ascii="Arial" w:eastAsia="Calibri" w:hAnsi="Arial" w:cs="Arial"/>
          <w:spacing w:val="-6"/>
          <w:sz w:val="18"/>
          <w:szCs w:val="18"/>
          <w:lang w:val="en-US"/>
        </w:rPr>
      </w:pPr>
      <w:r w:rsidRPr="00FD60F3">
        <w:rPr>
          <w:rFonts w:ascii="Arial" w:eastAsia="Calibri" w:hAnsi="Arial" w:cs="Arial"/>
          <w:spacing w:val="-6"/>
          <w:sz w:val="18"/>
          <w:szCs w:val="18"/>
          <w:lang w:val="en-US"/>
        </w:rPr>
        <w:t>Connelly, B. L., Hoskisson, R. E., Tihanyi, L., &amp; Certo, S. T. (2010). Ownership as a form of corporate governance. </w:t>
      </w:r>
      <w:r w:rsidRPr="00FD60F3">
        <w:rPr>
          <w:rFonts w:ascii="Arial" w:eastAsia="Calibri" w:hAnsi="Arial" w:cs="Arial"/>
          <w:i/>
          <w:iCs/>
          <w:spacing w:val="-6"/>
          <w:sz w:val="18"/>
          <w:szCs w:val="18"/>
          <w:lang w:val="en-US"/>
        </w:rPr>
        <w:t>Journal of Management Studies, 47</w:t>
      </w:r>
      <w:r w:rsidRPr="00FD60F3">
        <w:rPr>
          <w:rFonts w:ascii="Arial" w:eastAsia="Calibri" w:hAnsi="Arial" w:cs="Arial"/>
          <w:spacing w:val="-6"/>
          <w:sz w:val="18"/>
          <w:szCs w:val="18"/>
          <w:lang w:val="en-US"/>
        </w:rPr>
        <w:t xml:space="preserve">(8), 1561-1589. </w:t>
      </w:r>
      <w:hyperlink r:id="rId22" w:history="1">
        <w:r w:rsidRPr="00FD60F3">
          <w:rPr>
            <w:rFonts w:ascii="Arial" w:eastAsia="Calibri" w:hAnsi="Arial" w:cs="Arial"/>
            <w:spacing w:val="-6"/>
            <w:sz w:val="18"/>
            <w:szCs w:val="18"/>
            <w:lang w:val="en-US" w:eastAsia="en-US"/>
          </w:rPr>
          <w:t>https://doi.org/10.1111/j.1467-6486.2010.00929.x</w:t>
        </w:r>
      </w:hyperlink>
    </w:p>
    <w:p w14:paraId="5404C9DC"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Core, J. E., Holthausen, R. W., &amp; Larcker, D. F. (1999). Corporate governance, chief executive officer compensation, and firm performance. </w:t>
      </w:r>
      <w:r w:rsidRPr="007067D5">
        <w:rPr>
          <w:rFonts w:ascii="Arial" w:eastAsia="Calibri" w:hAnsi="Arial" w:cs="Arial"/>
          <w:i/>
          <w:iCs/>
          <w:sz w:val="18"/>
          <w:szCs w:val="18"/>
          <w:lang w:val="en-US"/>
        </w:rPr>
        <w:t>Journal of Financial Economics, 51</w:t>
      </w:r>
      <w:r w:rsidRPr="007067D5">
        <w:rPr>
          <w:rFonts w:ascii="Arial" w:eastAsia="Calibri" w:hAnsi="Arial" w:cs="Arial"/>
          <w:sz w:val="18"/>
          <w:szCs w:val="18"/>
          <w:lang w:val="en-US"/>
        </w:rPr>
        <w:t xml:space="preserve">(3), 371-406. </w:t>
      </w:r>
      <w:hyperlink r:id="rId23" w:history="1">
        <w:r w:rsidRPr="007067D5">
          <w:rPr>
            <w:rFonts w:ascii="Arial" w:eastAsia="Calibri" w:hAnsi="Arial" w:cs="Arial"/>
            <w:sz w:val="18"/>
            <w:szCs w:val="18"/>
            <w:lang w:val="en-US" w:eastAsia="en-US"/>
          </w:rPr>
          <w:t>https://doi.org/10.1016/S0304-405X(98)00058-0</w:t>
        </w:r>
      </w:hyperlink>
    </w:p>
    <w:p w14:paraId="56C0DAE2"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Correia, L. F., Amaral, H. F., &amp; Louvet, P. (2014). </w:t>
      </w:r>
      <w:r w:rsidRPr="007067D5">
        <w:rPr>
          <w:rFonts w:ascii="Arial" w:eastAsia="Calibri" w:hAnsi="Arial" w:cs="Arial"/>
          <w:sz w:val="18"/>
          <w:szCs w:val="18"/>
        </w:rPr>
        <w:t>Determinantes da eficiência de conselhos de administração de empresas negociadas na BM&amp;Fbovespa. </w:t>
      </w:r>
      <w:r w:rsidRPr="007067D5">
        <w:rPr>
          <w:rFonts w:ascii="Arial" w:eastAsia="Calibri" w:hAnsi="Arial" w:cs="Arial"/>
          <w:i/>
          <w:iCs/>
          <w:sz w:val="18"/>
          <w:szCs w:val="18"/>
        </w:rPr>
        <w:t>Revista de Contabilidade e Organizações, 8</w:t>
      </w:r>
      <w:r w:rsidRPr="007067D5">
        <w:rPr>
          <w:rFonts w:ascii="Arial" w:eastAsia="Calibri" w:hAnsi="Arial" w:cs="Arial"/>
          <w:sz w:val="18"/>
          <w:szCs w:val="18"/>
        </w:rPr>
        <w:t xml:space="preserve">(21), 46-57. </w:t>
      </w:r>
      <w:hyperlink r:id="rId24" w:history="1">
        <w:r w:rsidRPr="007067D5">
          <w:rPr>
            <w:rFonts w:ascii="Arial" w:eastAsia="Calibri" w:hAnsi="Arial" w:cs="Arial"/>
            <w:sz w:val="18"/>
            <w:szCs w:val="18"/>
          </w:rPr>
          <w:t>http://dx.doi.org/10.11606/rco.v8i21.63219</w:t>
        </w:r>
      </w:hyperlink>
    </w:p>
    <w:p w14:paraId="3F99E166"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Correia, L. F., Amaral, H. F., &amp; Louvet, P. (2014). Remuneração, composição do conselho de administração e estrutura de propriedade: evidências empíricas do mercado acionário brasileiro. </w:t>
      </w:r>
      <w:r w:rsidRPr="007067D5">
        <w:rPr>
          <w:rFonts w:ascii="Arial" w:eastAsia="Calibri" w:hAnsi="Arial" w:cs="Arial"/>
          <w:i/>
          <w:iCs/>
          <w:sz w:val="18"/>
          <w:szCs w:val="18"/>
          <w:lang w:val="en-US"/>
        </w:rPr>
        <w:t>Advances in Scientific and Applied Accounting, 7</w:t>
      </w:r>
      <w:r w:rsidRPr="007067D5">
        <w:rPr>
          <w:rFonts w:ascii="Arial" w:eastAsia="Calibri" w:hAnsi="Arial" w:cs="Arial"/>
          <w:sz w:val="18"/>
          <w:szCs w:val="18"/>
          <w:lang w:val="en-US"/>
        </w:rPr>
        <w:t xml:space="preserve">(1), 2-37. </w:t>
      </w:r>
    </w:p>
    <w:p w14:paraId="0D68E2F8"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D428F4">
        <w:rPr>
          <w:rFonts w:ascii="Arial" w:eastAsia="Calibri" w:hAnsi="Arial" w:cs="Arial"/>
          <w:sz w:val="18"/>
          <w:szCs w:val="18"/>
          <w:lang w:val="en-US"/>
        </w:rPr>
        <w:t xml:space="preserve">Crisóstomo, V. L., &amp; Brandão, I. F. (2019). </w:t>
      </w:r>
      <w:r w:rsidRPr="007067D5">
        <w:rPr>
          <w:rFonts w:ascii="Arial" w:eastAsia="Calibri" w:hAnsi="Arial" w:cs="Arial"/>
          <w:sz w:val="18"/>
          <w:szCs w:val="18"/>
          <w:lang w:val="en-US"/>
        </w:rPr>
        <w:t>The ultimate controlling owner and corporate governance in Brazil. </w:t>
      </w:r>
      <w:r w:rsidRPr="007067D5">
        <w:rPr>
          <w:rFonts w:ascii="Arial" w:eastAsia="Calibri" w:hAnsi="Arial" w:cs="Arial"/>
          <w:i/>
          <w:iCs/>
          <w:sz w:val="18"/>
          <w:szCs w:val="18"/>
          <w:lang w:val="en-US"/>
        </w:rPr>
        <w:t>Corporate Governance: The International Journal of Business in Society, 19</w:t>
      </w:r>
      <w:r w:rsidRPr="007067D5">
        <w:rPr>
          <w:rFonts w:ascii="Arial" w:eastAsia="Calibri" w:hAnsi="Arial" w:cs="Arial"/>
          <w:sz w:val="18"/>
          <w:szCs w:val="18"/>
          <w:lang w:val="en-US"/>
        </w:rPr>
        <w:t xml:space="preserve">(1), 120-140. </w:t>
      </w:r>
      <w:hyperlink r:id="rId25" w:history="1">
        <w:r w:rsidRPr="007067D5">
          <w:rPr>
            <w:rFonts w:ascii="Arial" w:eastAsia="Calibri" w:hAnsi="Arial" w:cs="Arial"/>
            <w:sz w:val="18"/>
            <w:szCs w:val="18"/>
            <w:lang w:val="en-US" w:eastAsia="en-US"/>
          </w:rPr>
          <w:t>https://doi.org/10.1108/CG-01-2018-0043</w:t>
        </w:r>
      </w:hyperlink>
    </w:p>
    <w:p w14:paraId="0BD80090" w14:textId="77777777" w:rsidR="006B566E" w:rsidRPr="007067D5" w:rsidRDefault="006B566E" w:rsidP="007067D5">
      <w:pPr>
        <w:keepNext/>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Crisóstomo, V. L., Brandão, I. F., &amp; López-Iturriaga, F. J. (2020). </w:t>
      </w:r>
      <w:r w:rsidRPr="007067D5">
        <w:rPr>
          <w:rFonts w:ascii="Arial" w:eastAsia="Calibri" w:hAnsi="Arial" w:cs="Arial"/>
          <w:sz w:val="18"/>
          <w:szCs w:val="18"/>
          <w:lang w:val="en-US"/>
        </w:rPr>
        <w:t>Large shareholders’ power and the quality of corporate governance: An analysis of Brazilian firms. </w:t>
      </w:r>
      <w:r w:rsidRPr="007067D5">
        <w:rPr>
          <w:rFonts w:ascii="Arial" w:eastAsia="Calibri" w:hAnsi="Arial" w:cs="Arial"/>
          <w:i/>
          <w:iCs/>
          <w:sz w:val="18"/>
          <w:szCs w:val="18"/>
          <w:lang w:val="en-US"/>
        </w:rPr>
        <w:t>Research in International Business and Finance, 51</w:t>
      </w:r>
      <w:r w:rsidRPr="007067D5">
        <w:rPr>
          <w:rFonts w:ascii="Arial" w:eastAsia="Calibri" w:hAnsi="Arial" w:cs="Arial"/>
          <w:sz w:val="18"/>
          <w:szCs w:val="18"/>
          <w:lang w:val="en-US"/>
        </w:rPr>
        <w:t xml:space="preserve">, 101076. </w:t>
      </w:r>
      <w:hyperlink r:id="rId26" w:history="1">
        <w:r w:rsidRPr="007067D5">
          <w:rPr>
            <w:rFonts w:ascii="Arial" w:eastAsia="Calibri" w:hAnsi="Arial" w:cs="Arial"/>
            <w:sz w:val="18"/>
            <w:szCs w:val="18"/>
            <w:lang w:val="en-US" w:eastAsia="en-US"/>
          </w:rPr>
          <w:t>https://doi.org/10.1016/j.ribaf.2019.101076</w:t>
        </w:r>
      </w:hyperlink>
    </w:p>
    <w:p w14:paraId="789A5E30" w14:textId="77777777" w:rsidR="006B566E" w:rsidRPr="00D428F4"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Denis, D. K., &amp; McConnell, J. J. (2003). International corporate governance. </w:t>
      </w:r>
      <w:r w:rsidRPr="007067D5">
        <w:rPr>
          <w:rFonts w:ascii="Arial" w:eastAsia="Calibri" w:hAnsi="Arial" w:cs="Arial"/>
          <w:i/>
          <w:iCs/>
          <w:sz w:val="18"/>
          <w:szCs w:val="18"/>
          <w:lang w:val="en-US"/>
        </w:rPr>
        <w:t>Journal of Financial and Quantitative Analysis, 38</w:t>
      </w:r>
      <w:r w:rsidRPr="007067D5">
        <w:rPr>
          <w:rFonts w:ascii="Arial" w:eastAsia="Calibri" w:hAnsi="Arial" w:cs="Arial"/>
          <w:sz w:val="18"/>
          <w:szCs w:val="18"/>
          <w:lang w:val="en-US"/>
        </w:rPr>
        <w:t xml:space="preserve">(1), 1-36. </w:t>
      </w:r>
      <w:hyperlink r:id="rId27" w:history="1">
        <w:r w:rsidRPr="00D428F4">
          <w:rPr>
            <w:rFonts w:ascii="Arial" w:eastAsia="Calibri" w:hAnsi="Arial" w:cs="Arial"/>
            <w:sz w:val="18"/>
            <w:szCs w:val="18"/>
            <w:lang w:val="en-US" w:eastAsia="en-US"/>
          </w:rPr>
          <w:t>https://doi.org/10.2307/4126762</w:t>
        </w:r>
      </w:hyperlink>
    </w:p>
    <w:p w14:paraId="551C5B63" w14:textId="77777777" w:rsidR="006B566E" w:rsidRPr="00D428F4" w:rsidRDefault="006B566E" w:rsidP="007067D5">
      <w:pPr>
        <w:widowControl/>
        <w:spacing w:before="40" w:line="240" w:lineRule="auto"/>
        <w:ind w:left="284" w:hanging="284"/>
        <w:rPr>
          <w:rFonts w:ascii="Arial" w:eastAsia="Calibri" w:hAnsi="Arial" w:cs="Arial"/>
          <w:sz w:val="18"/>
          <w:szCs w:val="18"/>
          <w:lang w:val="en-US"/>
        </w:rPr>
      </w:pPr>
      <w:r w:rsidRPr="00D428F4">
        <w:rPr>
          <w:rFonts w:ascii="Arial" w:eastAsia="Calibri" w:hAnsi="Arial" w:cs="Arial"/>
          <w:sz w:val="18"/>
          <w:szCs w:val="18"/>
          <w:lang w:val="en-US"/>
        </w:rPr>
        <w:t>Desender, K. A., Aguilera, R. V., Crespi, R., &amp; García</w:t>
      </w:r>
      <w:r w:rsidRPr="00D428F4">
        <w:rPr>
          <w:rFonts w:ascii="Cambria Math" w:eastAsia="Calibri" w:hAnsi="Cambria Math" w:cs="Cambria Math"/>
          <w:sz w:val="18"/>
          <w:szCs w:val="18"/>
          <w:lang w:val="en-US"/>
        </w:rPr>
        <w:t>‐</w:t>
      </w:r>
      <w:r w:rsidRPr="00D428F4">
        <w:rPr>
          <w:rFonts w:ascii="Arial" w:eastAsia="Calibri" w:hAnsi="Arial" w:cs="Arial"/>
          <w:sz w:val="18"/>
          <w:szCs w:val="18"/>
          <w:lang w:val="en-US"/>
        </w:rPr>
        <w:t xml:space="preserve">Cestona, M. (2013). </w:t>
      </w:r>
      <w:r w:rsidRPr="007067D5">
        <w:rPr>
          <w:rFonts w:ascii="Arial" w:eastAsia="Calibri" w:hAnsi="Arial" w:cs="Arial"/>
          <w:sz w:val="18"/>
          <w:szCs w:val="18"/>
          <w:lang w:val="en-US"/>
        </w:rPr>
        <w:t>When does ownership matter? Board characteristics and behavior. </w:t>
      </w:r>
      <w:r w:rsidRPr="007067D5">
        <w:rPr>
          <w:rFonts w:ascii="Arial" w:eastAsia="Calibri" w:hAnsi="Arial" w:cs="Arial"/>
          <w:i/>
          <w:iCs/>
          <w:sz w:val="18"/>
          <w:szCs w:val="18"/>
          <w:lang w:val="en-US"/>
        </w:rPr>
        <w:t>Strategic Management Journal, 34</w:t>
      </w:r>
      <w:r w:rsidRPr="007067D5">
        <w:rPr>
          <w:rFonts w:ascii="Arial" w:eastAsia="Calibri" w:hAnsi="Arial" w:cs="Arial"/>
          <w:sz w:val="18"/>
          <w:szCs w:val="18"/>
          <w:lang w:val="en-US"/>
        </w:rPr>
        <w:t xml:space="preserve">(7), 823-842. </w:t>
      </w:r>
      <w:hyperlink r:id="rId28" w:history="1">
        <w:r w:rsidRPr="00D428F4">
          <w:rPr>
            <w:rFonts w:ascii="Arial" w:eastAsia="Calibri" w:hAnsi="Arial" w:cs="Arial"/>
            <w:sz w:val="18"/>
            <w:szCs w:val="18"/>
            <w:lang w:val="en-US" w:eastAsia="en-US"/>
          </w:rPr>
          <w:t>https://doi.org/10.1002/smj.2046</w:t>
        </w:r>
      </w:hyperlink>
    </w:p>
    <w:p w14:paraId="3BEAB9DC"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Dutra, M. G. L., &amp; Saito, R. (2002). Conselhos de administração: análise de sua composição em um conjunto de companhias abertas brasileiras. </w:t>
      </w:r>
      <w:r w:rsidRPr="007067D5">
        <w:rPr>
          <w:rFonts w:ascii="Arial" w:eastAsia="Calibri" w:hAnsi="Arial" w:cs="Arial"/>
          <w:i/>
          <w:iCs/>
          <w:sz w:val="18"/>
          <w:szCs w:val="18"/>
        </w:rPr>
        <w:t>Revista de Administração Contemporânea, 6</w:t>
      </w:r>
      <w:r w:rsidRPr="007067D5">
        <w:rPr>
          <w:rFonts w:ascii="Arial" w:eastAsia="Calibri" w:hAnsi="Arial" w:cs="Arial"/>
          <w:sz w:val="18"/>
          <w:szCs w:val="18"/>
        </w:rPr>
        <w:t xml:space="preserve">(2), 9-27. </w:t>
      </w:r>
      <w:hyperlink r:id="rId29" w:history="1">
        <w:r w:rsidRPr="007067D5">
          <w:rPr>
            <w:rFonts w:ascii="Arial" w:eastAsia="Calibri" w:hAnsi="Arial" w:cs="Arial"/>
            <w:sz w:val="18"/>
            <w:szCs w:val="18"/>
          </w:rPr>
          <w:t>https://doi.org/10.1590/S1415-65552002000200003</w:t>
        </w:r>
      </w:hyperlink>
    </w:p>
    <w:p w14:paraId="36E8FF0B"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Ermel, M., &amp; Do Monte, P. A. (2018). Controle Acionário, Remuneração De Executivos E Desempenho Empresarial: Evidências Para O Mercado Brasileiro. </w:t>
      </w:r>
      <w:r w:rsidRPr="007067D5">
        <w:rPr>
          <w:rFonts w:ascii="Arial" w:eastAsia="Calibri" w:hAnsi="Arial" w:cs="Arial"/>
          <w:i/>
          <w:iCs/>
          <w:sz w:val="18"/>
          <w:szCs w:val="18"/>
        </w:rPr>
        <w:t>Revista Brasileira de Finanças, 16</w:t>
      </w:r>
      <w:r w:rsidRPr="007067D5">
        <w:rPr>
          <w:rFonts w:ascii="Arial" w:eastAsia="Calibri" w:hAnsi="Arial" w:cs="Arial"/>
          <w:sz w:val="18"/>
          <w:szCs w:val="18"/>
        </w:rPr>
        <w:t xml:space="preserve">(3), 455-491. </w:t>
      </w:r>
      <w:hyperlink r:id="rId30" w:history="1">
        <w:r w:rsidRPr="007067D5">
          <w:rPr>
            <w:rFonts w:ascii="Arial" w:eastAsia="Calibri" w:hAnsi="Arial" w:cs="Arial"/>
            <w:sz w:val="18"/>
            <w:szCs w:val="18"/>
          </w:rPr>
          <w:t>https://doi.org/10.12660/rbfin.v16n3.2018.55898</w:t>
        </w:r>
      </w:hyperlink>
    </w:p>
    <w:p w14:paraId="238D25D6"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Fama, E. F., &amp; Jensen, M. C. (1983). </w:t>
      </w:r>
      <w:r w:rsidRPr="007067D5">
        <w:rPr>
          <w:rFonts w:ascii="Arial" w:eastAsia="Calibri" w:hAnsi="Arial" w:cs="Arial"/>
          <w:sz w:val="18"/>
          <w:szCs w:val="18"/>
          <w:lang w:val="en-US"/>
        </w:rPr>
        <w:t>Separation of ownership and control. </w:t>
      </w:r>
      <w:r w:rsidRPr="007067D5">
        <w:rPr>
          <w:rFonts w:ascii="Arial" w:eastAsia="Calibri" w:hAnsi="Arial" w:cs="Arial"/>
          <w:i/>
          <w:iCs/>
          <w:sz w:val="18"/>
          <w:szCs w:val="18"/>
          <w:lang w:val="en-US"/>
        </w:rPr>
        <w:t>The Journal of Law and Economics, 26</w:t>
      </w:r>
      <w:r w:rsidRPr="007067D5">
        <w:rPr>
          <w:rFonts w:ascii="Arial" w:eastAsia="Calibri" w:hAnsi="Arial" w:cs="Arial"/>
          <w:sz w:val="18"/>
          <w:szCs w:val="18"/>
          <w:lang w:val="en-US"/>
        </w:rPr>
        <w:t xml:space="preserve">(2), 301-325. </w:t>
      </w:r>
      <w:hyperlink r:id="rId31" w:history="1">
        <w:r w:rsidRPr="007067D5">
          <w:rPr>
            <w:rFonts w:ascii="Arial" w:eastAsia="Calibri" w:hAnsi="Arial" w:cs="Arial"/>
            <w:sz w:val="18"/>
            <w:szCs w:val="18"/>
            <w:lang w:val="en-US" w:eastAsia="en-US"/>
          </w:rPr>
          <w:t>http://www.jstor.org/stable/725104</w:t>
        </w:r>
      </w:hyperlink>
    </w:p>
    <w:p w14:paraId="78F1383D"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Fávero, L. P. L. (2013). Dados em painel em contabilidade e finanças: teoria e aplicação. </w:t>
      </w:r>
      <w:r w:rsidRPr="007067D5">
        <w:rPr>
          <w:rFonts w:ascii="Arial" w:eastAsia="Calibri" w:hAnsi="Arial" w:cs="Arial"/>
          <w:i/>
          <w:iCs/>
          <w:sz w:val="18"/>
          <w:szCs w:val="18"/>
          <w:lang w:val="en-US"/>
        </w:rPr>
        <w:t>Brazilian Business Review, 10</w:t>
      </w:r>
      <w:r w:rsidRPr="007067D5">
        <w:rPr>
          <w:rFonts w:ascii="Arial" w:eastAsia="Calibri" w:hAnsi="Arial" w:cs="Arial"/>
          <w:sz w:val="18"/>
          <w:szCs w:val="18"/>
          <w:lang w:val="en-US"/>
        </w:rPr>
        <w:t xml:space="preserve">(1), 131-156. </w:t>
      </w:r>
      <w:hyperlink r:id="rId32" w:history="1">
        <w:r w:rsidRPr="007067D5">
          <w:rPr>
            <w:rFonts w:ascii="Arial" w:eastAsia="Calibri" w:hAnsi="Arial" w:cs="Arial"/>
            <w:sz w:val="18"/>
            <w:szCs w:val="18"/>
            <w:lang w:val="en-US" w:eastAsia="en-US"/>
          </w:rPr>
          <w:t>https://doi.org/10.15728/bbr.2013.10.1.6</w:t>
        </w:r>
      </w:hyperlink>
    </w:p>
    <w:p w14:paraId="59077086"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Fontes, J. R. Filho, &amp; Alves, C. F. (2018). </w:t>
      </w:r>
      <w:r w:rsidRPr="007067D5">
        <w:rPr>
          <w:rFonts w:ascii="Arial" w:eastAsia="Calibri" w:hAnsi="Arial" w:cs="Arial"/>
          <w:sz w:val="18"/>
          <w:szCs w:val="18"/>
        </w:rPr>
        <w:t>Mecanismos de controle na governança corporativa das empresas estatais: uma comparação entre Brasil e Portugal. </w:t>
      </w:r>
      <w:r w:rsidRPr="007067D5">
        <w:rPr>
          <w:rFonts w:ascii="Arial" w:eastAsia="Calibri" w:hAnsi="Arial" w:cs="Arial"/>
          <w:i/>
          <w:iCs/>
          <w:sz w:val="18"/>
          <w:szCs w:val="18"/>
        </w:rPr>
        <w:t>Cadernos Ebape.Br, 16</w:t>
      </w:r>
      <w:r w:rsidRPr="007067D5">
        <w:rPr>
          <w:rFonts w:ascii="Arial" w:eastAsia="Calibri" w:hAnsi="Arial" w:cs="Arial"/>
          <w:sz w:val="18"/>
          <w:szCs w:val="18"/>
        </w:rPr>
        <w:t xml:space="preserve">(1), 2-13. </w:t>
      </w:r>
      <w:hyperlink r:id="rId33" w:history="1">
        <w:r w:rsidRPr="007067D5">
          <w:rPr>
            <w:rFonts w:ascii="Arial" w:eastAsia="Calibri" w:hAnsi="Arial" w:cs="Arial"/>
            <w:sz w:val="18"/>
            <w:szCs w:val="18"/>
          </w:rPr>
          <w:t>https://doi.org/10.1590/1679-395172454</w:t>
        </w:r>
      </w:hyperlink>
    </w:p>
    <w:p w14:paraId="0D74A1F8"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lastRenderedPageBreak/>
        <w:t>Freitas, M. R. O., Pereira, G. M., Vasconcelos, A. C., &amp; Luca, M. M. M. De (2020). Concentração acionária, conselho de administração e remuneração de executivos. </w:t>
      </w:r>
      <w:r w:rsidRPr="007067D5">
        <w:rPr>
          <w:rFonts w:ascii="Arial" w:eastAsia="Calibri" w:hAnsi="Arial" w:cs="Arial"/>
          <w:i/>
          <w:iCs/>
          <w:sz w:val="18"/>
          <w:szCs w:val="18"/>
        </w:rPr>
        <w:t>Revista de Administração de Empresas, 60</w:t>
      </w:r>
      <w:r w:rsidRPr="007067D5">
        <w:rPr>
          <w:rFonts w:ascii="Arial" w:eastAsia="Calibri" w:hAnsi="Arial" w:cs="Arial"/>
          <w:sz w:val="18"/>
          <w:szCs w:val="18"/>
        </w:rPr>
        <w:t xml:space="preserve">, 322-335. </w:t>
      </w:r>
      <w:hyperlink r:id="rId34" w:history="1">
        <w:r w:rsidRPr="007067D5">
          <w:rPr>
            <w:rFonts w:ascii="Arial" w:eastAsia="Calibri" w:hAnsi="Arial" w:cs="Arial"/>
            <w:sz w:val="18"/>
            <w:szCs w:val="18"/>
            <w:lang w:val="en-US"/>
          </w:rPr>
          <w:t>https://doi.org/10.1590/S0034-759020200503</w:t>
        </w:r>
      </w:hyperlink>
    </w:p>
    <w:p w14:paraId="4E76600A"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Gadhoum, Y. (2006). Power of ultimate controlling owners: A survey of Canadian landscape. </w:t>
      </w:r>
      <w:r w:rsidRPr="007067D5">
        <w:rPr>
          <w:rFonts w:ascii="Arial" w:eastAsia="Calibri" w:hAnsi="Arial" w:cs="Arial"/>
          <w:i/>
          <w:iCs/>
          <w:sz w:val="18"/>
          <w:szCs w:val="18"/>
          <w:lang w:val="en-US"/>
        </w:rPr>
        <w:t>Journal of Management &amp; Governance, 10</w:t>
      </w:r>
      <w:r w:rsidRPr="007067D5">
        <w:rPr>
          <w:rFonts w:ascii="Arial" w:eastAsia="Calibri" w:hAnsi="Arial" w:cs="Arial"/>
          <w:sz w:val="18"/>
          <w:szCs w:val="18"/>
          <w:lang w:val="en-US"/>
        </w:rPr>
        <w:t xml:space="preserve">(2), 179-204. </w:t>
      </w:r>
      <w:hyperlink r:id="rId35" w:history="1">
        <w:r w:rsidRPr="007067D5">
          <w:rPr>
            <w:rFonts w:ascii="Arial" w:eastAsia="Calibri" w:hAnsi="Arial" w:cs="Arial"/>
            <w:sz w:val="18"/>
            <w:szCs w:val="18"/>
            <w:lang w:val="en-US" w:eastAsia="en-US"/>
          </w:rPr>
          <w:t>https://doi.org/10.1007/s10997-006-0004-0</w:t>
        </w:r>
      </w:hyperlink>
    </w:p>
    <w:p w14:paraId="2E4F3B46"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Gelman, M., Castro, L. R. K. D., &amp; Seidler, V. (2015). </w:t>
      </w:r>
      <w:r w:rsidRPr="007067D5">
        <w:rPr>
          <w:rFonts w:ascii="Arial" w:eastAsia="Calibri" w:hAnsi="Arial" w:cs="Arial"/>
          <w:sz w:val="18"/>
          <w:szCs w:val="18"/>
        </w:rPr>
        <w:t xml:space="preserve">Efeitos da vinculação de conselheiros ao acordo de acionistas no valor da firma. </w:t>
      </w:r>
      <w:r w:rsidRPr="007067D5">
        <w:rPr>
          <w:rFonts w:ascii="Arial" w:eastAsia="Calibri" w:hAnsi="Arial" w:cs="Arial"/>
          <w:i/>
          <w:iCs/>
          <w:sz w:val="18"/>
          <w:szCs w:val="18"/>
        </w:rPr>
        <w:t>Revista de Administração de Empresas, 55</w:t>
      </w:r>
      <w:r w:rsidRPr="007067D5">
        <w:rPr>
          <w:rFonts w:ascii="Arial" w:eastAsia="Calibri" w:hAnsi="Arial" w:cs="Arial"/>
          <w:sz w:val="18"/>
          <w:szCs w:val="18"/>
        </w:rPr>
        <w:t xml:space="preserve">(3), 345-358. </w:t>
      </w:r>
      <w:hyperlink r:id="rId36" w:history="1">
        <w:r w:rsidRPr="007067D5">
          <w:rPr>
            <w:rFonts w:ascii="Arial" w:eastAsia="Calibri" w:hAnsi="Arial" w:cs="Arial"/>
            <w:sz w:val="18"/>
            <w:szCs w:val="18"/>
          </w:rPr>
          <w:t>http://dx.doi.org/10.1590/S0034-759020150309</w:t>
        </w:r>
      </w:hyperlink>
    </w:p>
    <w:p w14:paraId="30A1A587"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 xml:space="preserve">Grupo de Trabalho Interagentes (2016). </w:t>
      </w:r>
      <w:r w:rsidRPr="007067D5">
        <w:rPr>
          <w:rFonts w:ascii="Arial" w:eastAsia="Calibri" w:hAnsi="Arial" w:cs="Arial"/>
          <w:i/>
          <w:iCs/>
          <w:sz w:val="18"/>
          <w:szCs w:val="18"/>
        </w:rPr>
        <w:t>Código brasileiro de governança corporativa: companhias abertas</w:t>
      </w:r>
      <w:r w:rsidRPr="007067D5">
        <w:rPr>
          <w:rFonts w:ascii="Arial" w:eastAsia="Calibri" w:hAnsi="Arial" w:cs="Arial"/>
          <w:sz w:val="18"/>
          <w:szCs w:val="18"/>
        </w:rPr>
        <w:t xml:space="preserve">. São Paulo: IBGC. </w:t>
      </w:r>
      <w:hyperlink r:id="rId37" w:history="1">
        <w:r w:rsidRPr="007067D5">
          <w:rPr>
            <w:rFonts w:ascii="Arial" w:eastAsia="Calibri" w:hAnsi="Arial" w:cs="Arial"/>
            <w:sz w:val="18"/>
            <w:szCs w:val="18"/>
          </w:rPr>
          <w:t>https://www.anbima.com.br/data/files/F8/D2/98/00/02D885104D66888568A80AC2/Codigo-Brasileiro-de-Governanca-Corporativa_1_.pdf</w:t>
        </w:r>
      </w:hyperlink>
    </w:p>
    <w:p w14:paraId="4457EF41"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Hair, J. F., Jr., Black, W. C., Babin, B. j., Anderson, R. E., &amp; Tatham, R. L. (2005). </w:t>
      </w:r>
      <w:r w:rsidRPr="007067D5">
        <w:rPr>
          <w:rFonts w:ascii="Arial" w:eastAsia="Calibri" w:hAnsi="Arial" w:cs="Arial"/>
          <w:i/>
          <w:iCs/>
          <w:sz w:val="18"/>
          <w:szCs w:val="18"/>
        </w:rPr>
        <w:t>Análise multivariada de dados</w:t>
      </w:r>
      <w:r w:rsidRPr="007067D5">
        <w:rPr>
          <w:rFonts w:ascii="Arial" w:eastAsia="Calibri" w:hAnsi="Arial" w:cs="Arial"/>
          <w:sz w:val="18"/>
          <w:szCs w:val="18"/>
        </w:rPr>
        <w:t>. 6 ed. Porto Alegre: Bookman.</w:t>
      </w:r>
    </w:p>
    <w:p w14:paraId="7C8267D4"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D428F4">
        <w:rPr>
          <w:rFonts w:ascii="Arial" w:eastAsia="Calibri" w:hAnsi="Arial" w:cs="Arial"/>
          <w:sz w:val="18"/>
          <w:szCs w:val="18"/>
          <w:lang w:val="es-419"/>
        </w:rPr>
        <w:t xml:space="preserve">Hassen, R. B., El Ouakdi, J., &amp; Omri, A. (2015). </w:t>
      </w:r>
      <w:r w:rsidRPr="007067D5">
        <w:rPr>
          <w:rFonts w:ascii="Arial" w:eastAsia="Calibri" w:hAnsi="Arial" w:cs="Arial"/>
          <w:sz w:val="18"/>
          <w:szCs w:val="18"/>
          <w:lang w:val="en-US"/>
        </w:rPr>
        <w:t>Executive compensation and ownership structure</w:t>
      </w:r>
      <w:r w:rsidRPr="007067D5">
        <w:rPr>
          <w:rFonts w:ascii="Arial" w:eastAsia="Calibri" w:hAnsi="Arial" w:cs="Arial"/>
          <w:i/>
          <w:iCs/>
          <w:sz w:val="18"/>
          <w:szCs w:val="18"/>
          <w:lang w:val="en-US"/>
        </w:rPr>
        <w:t>. Journal of Applied Business Research, 31</w:t>
      </w:r>
      <w:r w:rsidRPr="007067D5">
        <w:rPr>
          <w:rFonts w:ascii="Arial" w:eastAsia="Calibri" w:hAnsi="Arial" w:cs="Arial"/>
          <w:sz w:val="18"/>
          <w:szCs w:val="18"/>
          <w:lang w:val="en-US"/>
        </w:rPr>
        <w:t xml:space="preserve">(2), 593-608. </w:t>
      </w:r>
      <w:hyperlink r:id="rId38" w:history="1">
        <w:r w:rsidRPr="007067D5">
          <w:rPr>
            <w:rFonts w:ascii="Arial" w:eastAsia="Calibri" w:hAnsi="Arial" w:cs="Arial"/>
            <w:sz w:val="18"/>
            <w:szCs w:val="18"/>
            <w:lang w:val="en-US" w:eastAsia="en-US"/>
          </w:rPr>
          <w:t>https://doi.org/10.19030/jabr.v31i2.9156</w:t>
        </w:r>
      </w:hyperlink>
    </w:p>
    <w:p w14:paraId="31D61A57"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 xml:space="preserve">Hoff, J., &amp; Vicente, E. F. R. (2016). O Gerenciamento de Resultados e a Remuneração Variável dos Executivos das Companhias Brasileiras Listadas na BM&amp;FBOVESPA. </w:t>
      </w:r>
      <w:r w:rsidRPr="007067D5">
        <w:rPr>
          <w:rFonts w:ascii="Arial" w:eastAsia="Calibri" w:hAnsi="Arial" w:cs="Arial"/>
          <w:i/>
          <w:iCs/>
          <w:sz w:val="18"/>
          <w:szCs w:val="18"/>
        </w:rPr>
        <w:t>Revista de Contabilidade da UFBA, 10</w:t>
      </w:r>
      <w:r w:rsidRPr="007067D5">
        <w:rPr>
          <w:rFonts w:ascii="Arial" w:eastAsia="Calibri" w:hAnsi="Arial" w:cs="Arial"/>
          <w:sz w:val="18"/>
          <w:szCs w:val="18"/>
        </w:rPr>
        <w:t xml:space="preserve">(2), 64-81. </w:t>
      </w:r>
      <w:hyperlink r:id="rId39" w:history="1">
        <w:r w:rsidRPr="007067D5">
          <w:rPr>
            <w:rFonts w:ascii="Arial" w:eastAsia="Calibri" w:hAnsi="Arial" w:cs="Arial"/>
            <w:sz w:val="18"/>
            <w:szCs w:val="18"/>
          </w:rPr>
          <w:t>https://doi.org/10.9771/rc-ufba.v10i2.17027</w:t>
        </w:r>
      </w:hyperlink>
    </w:p>
    <w:p w14:paraId="7DBD4BDA"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t>Iglesias, T. M., Silva, T. D., Jesuka, D., &amp; Peixoto, F. M. (2022). Reflexos da governança corporativa sobre a pay-performance sensitivity: uma nova perspectiva. </w:t>
      </w:r>
      <w:r w:rsidRPr="007067D5">
        <w:rPr>
          <w:rFonts w:ascii="Arial" w:eastAsia="Calibri" w:hAnsi="Arial" w:cs="Arial"/>
          <w:i/>
          <w:iCs/>
          <w:sz w:val="18"/>
          <w:szCs w:val="18"/>
        </w:rPr>
        <w:t>Revista de Administração Mackenzie, 23</w:t>
      </w:r>
      <w:r w:rsidRPr="007067D5">
        <w:rPr>
          <w:rFonts w:ascii="Arial" w:eastAsia="Calibri" w:hAnsi="Arial" w:cs="Arial"/>
          <w:sz w:val="18"/>
          <w:szCs w:val="18"/>
        </w:rPr>
        <w:t xml:space="preserve">(1). </w:t>
      </w:r>
      <w:hyperlink r:id="rId40" w:history="1">
        <w:r w:rsidRPr="007067D5">
          <w:rPr>
            <w:rFonts w:ascii="Arial" w:eastAsia="Calibri" w:hAnsi="Arial" w:cs="Arial"/>
            <w:sz w:val="18"/>
            <w:szCs w:val="18"/>
          </w:rPr>
          <w:t>https://doi.org/10.1590/1678-6971/eRAMF220088</w:t>
        </w:r>
      </w:hyperlink>
    </w:p>
    <w:p w14:paraId="6213D8A3"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Jensen, M. C., &amp; Meckling, W. H. (1976). </w:t>
      </w:r>
      <w:r w:rsidRPr="007067D5">
        <w:rPr>
          <w:rFonts w:ascii="Arial" w:eastAsia="Calibri" w:hAnsi="Arial" w:cs="Arial"/>
          <w:sz w:val="18"/>
          <w:szCs w:val="18"/>
          <w:lang w:val="en-US"/>
        </w:rPr>
        <w:t>Theory of the firm: Managerial behavior, agency costs and ownership structure. </w:t>
      </w:r>
      <w:r w:rsidRPr="007067D5">
        <w:rPr>
          <w:rFonts w:ascii="Arial" w:eastAsia="Calibri" w:hAnsi="Arial" w:cs="Arial"/>
          <w:i/>
          <w:iCs/>
          <w:sz w:val="18"/>
          <w:szCs w:val="18"/>
          <w:lang w:val="en-US"/>
        </w:rPr>
        <w:t>Journal of Financial Economics, 3</w:t>
      </w:r>
      <w:r w:rsidRPr="007067D5">
        <w:rPr>
          <w:rFonts w:ascii="Arial" w:eastAsia="Calibri" w:hAnsi="Arial" w:cs="Arial"/>
          <w:sz w:val="18"/>
          <w:szCs w:val="18"/>
          <w:lang w:val="en-US"/>
        </w:rPr>
        <w:t xml:space="preserve">(4), 305-360. </w:t>
      </w:r>
      <w:hyperlink r:id="rId41" w:history="1">
        <w:r w:rsidRPr="007067D5">
          <w:rPr>
            <w:rFonts w:ascii="Arial" w:eastAsia="Calibri" w:hAnsi="Arial" w:cs="Arial"/>
            <w:sz w:val="18"/>
            <w:szCs w:val="18"/>
            <w:lang w:val="en-US" w:eastAsia="en-US"/>
          </w:rPr>
          <w:t>https://doi.org/10.1016/0304-405X(76)90026-X</w:t>
        </w:r>
      </w:hyperlink>
    </w:p>
    <w:p w14:paraId="2E6ADB87"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Jiang, F., &amp; Kim, K. A. (2020). Corporate governance in China: A survey. </w:t>
      </w:r>
      <w:r w:rsidRPr="007067D5">
        <w:rPr>
          <w:rFonts w:ascii="Arial" w:eastAsia="Calibri" w:hAnsi="Arial" w:cs="Arial"/>
          <w:i/>
          <w:iCs/>
          <w:sz w:val="18"/>
          <w:szCs w:val="18"/>
          <w:lang w:val="en-US"/>
        </w:rPr>
        <w:t>Review of Finance, 24</w:t>
      </w:r>
      <w:r w:rsidRPr="007067D5">
        <w:rPr>
          <w:rFonts w:ascii="Arial" w:eastAsia="Calibri" w:hAnsi="Arial" w:cs="Arial"/>
          <w:sz w:val="18"/>
          <w:szCs w:val="18"/>
          <w:lang w:val="en-US"/>
        </w:rPr>
        <w:t xml:space="preserve">(4), 733-772. </w:t>
      </w:r>
      <w:hyperlink r:id="rId42" w:history="1">
        <w:r w:rsidRPr="007067D5">
          <w:rPr>
            <w:rFonts w:ascii="Arial" w:eastAsia="Calibri" w:hAnsi="Arial" w:cs="Arial"/>
            <w:sz w:val="18"/>
            <w:szCs w:val="18"/>
            <w:lang w:val="en-US" w:eastAsia="en-US"/>
          </w:rPr>
          <w:t>https://doi.org/10.1093/rof/rfaa012</w:t>
        </w:r>
      </w:hyperlink>
    </w:p>
    <w:p w14:paraId="54749C9D"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Porta, R. La, Lopez</w:t>
      </w:r>
      <w:r w:rsidRPr="007067D5">
        <w:rPr>
          <w:rFonts w:ascii="Cambria Math" w:eastAsia="Calibri" w:hAnsi="Cambria Math" w:cs="Cambria Math"/>
          <w:sz w:val="18"/>
          <w:szCs w:val="18"/>
          <w:lang w:val="en-US"/>
        </w:rPr>
        <w:t>‐</w:t>
      </w:r>
      <w:r w:rsidRPr="007067D5">
        <w:rPr>
          <w:rFonts w:ascii="Arial" w:eastAsia="Calibri" w:hAnsi="Arial" w:cs="Arial"/>
          <w:sz w:val="18"/>
          <w:szCs w:val="18"/>
          <w:lang w:val="en-US"/>
        </w:rPr>
        <w:t>de</w:t>
      </w:r>
      <w:r w:rsidRPr="007067D5">
        <w:rPr>
          <w:rFonts w:ascii="Cambria Math" w:eastAsia="Calibri" w:hAnsi="Cambria Math" w:cs="Cambria Math"/>
          <w:sz w:val="18"/>
          <w:szCs w:val="18"/>
          <w:lang w:val="en-US"/>
        </w:rPr>
        <w:t>‐</w:t>
      </w:r>
      <w:r w:rsidRPr="007067D5">
        <w:rPr>
          <w:rFonts w:ascii="Arial" w:eastAsia="Calibri" w:hAnsi="Arial" w:cs="Arial"/>
          <w:sz w:val="18"/>
          <w:szCs w:val="18"/>
          <w:lang w:val="en-US"/>
        </w:rPr>
        <w:t>Silanes, F., &amp; Shleifer, A. (1999). Corporate ownership around the world. </w:t>
      </w:r>
      <w:r w:rsidRPr="007067D5">
        <w:rPr>
          <w:rFonts w:ascii="Arial" w:eastAsia="Calibri" w:hAnsi="Arial" w:cs="Arial"/>
          <w:i/>
          <w:iCs/>
          <w:sz w:val="18"/>
          <w:szCs w:val="18"/>
          <w:lang w:val="en-US"/>
        </w:rPr>
        <w:t>The Journal of Finance, 54</w:t>
      </w:r>
      <w:r w:rsidRPr="007067D5">
        <w:rPr>
          <w:rFonts w:ascii="Arial" w:eastAsia="Calibri" w:hAnsi="Arial" w:cs="Arial"/>
          <w:sz w:val="18"/>
          <w:szCs w:val="18"/>
          <w:lang w:val="en-US"/>
        </w:rPr>
        <w:t xml:space="preserve">(2), 471-517. </w:t>
      </w:r>
      <w:hyperlink r:id="rId43" w:history="1">
        <w:r w:rsidRPr="007067D5">
          <w:rPr>
            <w:rFonts w:ascii="Arial" w:eastAsia="Calibri" w:hAnsi="Arial" w:cs="Arial"/>
            <w:sz w:val="18"/>
            <w:szCs w:val="18"/>
            <w:lang w:val="en-US" w:eastAsia="en-US"/>
          </w:rPr>
          <w:t>https://doi.org/10.1111/0022-1082.00115</w:t>
        </w:r>
      </w:hyperlink>
    </w:p>
    <w:p w14:paraId="18A91352"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Porta, R. La, Lopez-de-Silanes, F., Shleifer, A., &amp; Vishny, R. (2000). Investor protection and corporate governance. </w:t>
      </w:r>
      <w:r w:rsidRPr="007067D5">
        <w:rPr>
          <w:rFonts w:ascii="Arial" w:eastAsia="Calibri" w:hAnsi="Arial" w:cs="Arial"/>
          <w:i/>
          <w:iCs/>
          <w:sz w:val="18"/>
          <w:szCs w:val="18"/>
          <w:lang w:val="en-US"/>
        </w:rPr>
        <w:t>Journal of Financial Economics, 58</w:t>
      </w:r>
      <w:r w:rsidRPr="007067D5">
        <w:rPr>
          <w:rFonts w:ascii="Arial" w:eastAsia="Calibri" w:hAnsi="Arial" w:cs="Arial"/>
          <w:sz w:val="18"/>
          <w:szCs w:val="18"/>
          <w:lang w:val="en-US"/>
        </w:rPr>
        <w:t xml:space="preserve">(1-2), 3-27. </w:t>
      </w:r>
      <w:hyperlink r:id="rId44" w:history="1">
        <w:r w:rsidRPr="007067D5">
          <w:rPr>
            <w:rFonts w:ascii="Arial" w:eastAsia="Calibri" w:hAnsi="Arial" w:cs="Arial"/>
            <w:sz w:val="18"/>
            <w:szCs w:val="18"/>
            <w:lang w:val="en-US" w:eastAsia="en-US"/>
          </w:rPr>
          <w:t>https://doi.org/10.1016/S0304-405X(00)00065-9</w:t>
        </w:r>
      </w:hyperlink>
    </w:p>
    <w:p w14:paraId="2956F3ED"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i/>
          <w:iCs/>
          <w:sz w:val="18"/>
          <w:szCs w:val="18"/>
        </w:rPr>
        <w:t>Lei nº. 13.303, de 30 de junho de 2016</w:t>
      </w:r>
      <w:r w:rsidRPr="007067D5">
        <w:rPr>
          <w:rFonts w:ascii="Arial" w:eastAsia="Calibri" w:hAnsi="Arial" w:cs="Arial"/>
          <w:sz w:val="18"/>
          <w:szCs w:val="18"/>
        </w:rPr>
        <w:t xml:space="preserve">. Dispõe sobre o estatuto jurídico da empresa pública, da sociedade de economia mista e de suas subsidiárias, no âmbito da União, dos Estados, do Distrito Federal e dos Municípios. Brasília, DF: 30 de junho de 2016. Recuperado de: </w:t>
      </w:r>
      <w:hyperlink r:id="rId45" w:history="1">
        <w:r w:rsidRPr="007067D5">
          <w:rPr>
            <w:rFonts w:ascii="Arial" w:eastAsia="Calibri" w:hAnsi="Arial" w:cs="Arial"/>
            <w:sz w:val="18"/>
            <w:szCs w:val="18"/>
          </w:rPr>
          <w:t>http://www.planalto.gov.br/ccivil_03/_ato2015-2018/2016/lei/l13303.htm</w:t>
        </w:r>
      </w:hyperlink>
    </w:p>
    <w:p w14:paraId="07D89B5A" w14:textId="77777777" w:rsidR="006B566E" w:rsidRPr="00E10BA2" w:rsidRDefault="006B566E" w:rsidP="007067D5">
      <w:pPr>
        <w:widowControl/>
        <w:spacing w:before="40" w:line="240" w:lineRule="auto"/>
        <w:ind w:left="284" w:hanging="284"/>
        <w:rPr>
          <w:rFonts w:ascii="Arial" w:eastAsia="Calibri" w:hAnsi="Arial" w:cs="Arial"/>
          <w:spacing w:val="-4"/>
          <w:sz w:val="18"/>
          <w:szCs w:val="18"/>
        </w:rPr>
      </w:pPr>
      <w:r w:rsidRPr="00E10BA2">
        <w:rPr>
          <w:rFonts w:ascii="Arial" w:eastAsia="Calibri" w:hAnsi="Arial" w:cs="Arial"/>
          <w:spacing w:val="-4"/>
          <w:sz w:val="18"/>
          <w:szCs w:val="18"/>
        </w:rPr>
        <w:t>Machado, L. K. C., Prado, J. W. do, Rauber, L. L., Carvalho, E. G., &amp; Santos, A. C. dos. (2020). A influência da governança corporativa no desempenho financeiro, na oportunidade de crescimento e no valor de mercado das firmas: uma análise com modelagem de equações estruturais. </w:t>
      </w:r>
      <w:r w:rsidRPr="00E10BA2">
        <w:rPr>
          <w:rFonts w:ascii="Arial" w:eastAsia="Calibri" w:hAnsi="Arial" w:cs="Arial"/>
          <w:i/>
          <w:iCs/>
          <w:spacing w:val="-4"/>
          <w:sz w:val="18"/>
          <w:szCs w:val="18"/>
        </w:rPr>
        <w:t>Enfoque: Reflexão Contábil, 39</w:t>
      </w:r>
      <w:r w:rsidRPr="00E10BA2">
        <w:rPr>
          <w:rFonts w:ascii="Arial" w:eastAsia="Calibri" w:hAnsi="Arial" w:cs="Arial"/>
          <w:spacing w:val="-4"/>
          <w:sz w:val="18"/>
          <w:szCs w:val="18"/>
        </w:rPr>
        <w:t xml:space="preserve">(2), 27-41. </w:t>
      </w:r>
      <w:hyperlink r:id="rId46" w:history="1">
        <w:r w:rsidRPr="00E10BA2">
          <w:rPr>
            <w:rFonts w:ascii="Arial" w:eastAsia="Calibri" w:hAnsi="Arial" w:cs="Arial"/>
            <w:spacing w:val="-4"/>
            <w:sz w:val="18"/>
            <w:szCs w:val="18"/>
          </w:rPr>
          <w:t>https://doi.org/10.4025/enfoque.v39i2.45852</w:t>
        </w:r>
      </w:hyperlink>
    </w:p>
    <w:p w14:paraId="1BCC6D6A" w14:textId="77777777" w:rsidR="006B566E" w:rsidRPr="00FD60F3" w:rsidRDefault="006B566E" w:rsidP="007067D5">
      <w:pPr>
        <w:widowControl/>
        <w:spacing w:before="40" w:line="240" w:lineRule="auto"/>
        <w:ind w:left="284" w:hanging="284"/>
        <w:rPr>
          <w:rFonts w:ascii="Arial" w:eastAsia="Calibri" w:hAnsi="Arial" w:cs="Arial"/>
          <w:spacing w:val="-4"/>
          <w:sz w:val="18"/>
          <w:szCs w:val="18"/>
          <w:lang w:val="en-US"/>
        </w:rPr>
      </w:pPr>
      <w:r w:rsidRPr="00FD60F3">
        <w:rPr>
          <w:rFonts w:ascii="Arial" w:eastAsia="Calibri" w:hAnsi="Arial" w:cs="Arial"/>
          <w:spacing w:val="-4"/>
          <w:sz w:val="18"/>
          <w:szCs w:val="18"/>
        </w:rPr>
        <w:t xml:space="preserve">Morck, R., Shleifer, A., &amp; Vishny, R. W. (1988). </w:t>
      </w:r>
      <w:r w:rsidRPr="00FD60F3">
        <w:rPr>
          <w:rFonts w:ascii="Arial" w:eastAsia="Calibri" w:hAnsi="Arial" w:cs="Arial"/>
          <w:spacing w:val="-4"/>
          <w:sz w:val="18"/>
          <w:szCs w:val="18"/>
          <w:lang w:val="en-US"/>
        </w:rPr>
        <w:t>Management ownership and market valuation: An empirical analysis. </w:t>
      </w:r>
      <w:r w:rsidRPr="00FD60F3">
        <w:rPr>
          <w:rFonts w:ascii="Arial" w:eastAsia="Calibri" w:hAnsi="Arial" w:cs="Arial"/>
          <w:i/>
          <w:iCs/>
          <w:spacing w:val="-4"/>
          <w:sz w:val="18"/>
          <w:szCs w:val="18"/>
          <w:lang w:val="en-US"/>
        </w:rPr>
        <w:t>Journal of Financial Economics, 20</w:t>
      </w:r>
      <w:r w:rsidRPr="00FD60F3">
        <w:rPr>
          <w:rFonts w:ascii="Arial" w:eastAsia="Calibri" w:hAnsi="Arial" w:cs="Arial"/>
          <w:spacing w:val="-4"/>
          <w:sz w:val="18"/>
          <w:szCs w:val="18"/>
          <w:lang w:val="en-US"/>
        </w:rPr>
        <w:t xml:space="preserve">, 293-315. </w:t>
      </w:r>
      <w:hyperlink r:id="rId47" w:history="1">
        <w:r w:rsidRPr="00FD60F3">
          <w:rPr>
            <w:rFonts w:ascii="Arial" w:eastAsia="Calibri" w:hAnsi="Arial" w:cs="Arial"/>
            <w:spacing w:val="-4"/>
            <w:sz w:val="18"/>
            <w:szCs w:val="18"/>
            <w:lang w:val="en-US" w:eastAsia="en-US"/>
          </w:rPr>
          <w:t>https://doi.org/10.1016/0304-405X(88)90048-7</w:t>
        </w:r>
      </w:hyperlink>
    </w:p>
    <w:p w14:paraId="0C8E4B4F"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Moura, G. D. de, Bianchet, T. D. S. A., Mazzioni, S., &amp; Macêdo, F. F. R. R. (2018). </w:t>
      </w:r>
      <w:r w:rsidRPr="007067D5">
        <w:rPr>
          <w:rFonts w:ascii="Arial" w:eastAsia="Calibri" w:hAnsi="Arial" w:cs="Arial"/>
          <w:sz w:val="18"/>
          <w:szCs w:val="18"/>
        </w:rPr>
        <w:t>Influência da estrutura de propriedade e da gestão familiar no gerenciamento de resultados. </w:t>
      </w:r>
      <w:r w:rsidRPr="007067D5">
        <w:rPr>
          <w:rFonts w:ascii="Arial" w:eastAsia="Calibri" w:hAnsi="Arial" w:cs="Arial"/>
          <w:i/>
          <w:iCs/>
          <w:sz w:val="18"/>
          <w:szCs w:val="18"/>
        </w:rPr>
        <w:t>Enfoque: Reflexão Contábil, 37</w:t>
      </w:r>
      <w:r w:rsidRPr="007067D5">
        <w:rPr>
          <w:rFonts w:ascii="Arial" w:eastAsia="Calibri" w:hAnsi="Arial" w:cs="Arial"/>
          <w:sz w:val="18"/>
          <w:szCs w:val="18"/>
        </w:rPr>
        <w:t xml:space="preserve">(2), 107-126. </w:t>
      </w:r>
      <w:hyperlink r:id="rId48" w:history="1">
        <w:r w:rsidRPr="007067D5">
          <w:rPr>
            <w:rFonts w:ascii="Arial" w:eastAsia="Calibri" w:hAnsi="Arial" w:cs="Arial"/>
            <w:sz w:val="18"/>
            <w:szCs w:val="18"/>
          </w:rPr>
          <w:t>https://doi.org/10.4025/enfoque.v37i2.37824</w:t>
        </w:r>
      </w:hyperlink>
    </w:p>
    <w:p w14:paraId="49EBDA55"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Nascimento, J. C. H. B., Angotti, M., Macedo, M. A. S., &amp; Bortolon, P. M. (2018). As relações entre governança corporativa, risco e endividamento e suas influências no desempenho financeiro e no valor de mercado de empresas brasileiras. </w:t>
      </w:r>
      <w:r w:rsidRPr="007067D5">
        <w:rPr>
          <w:rFonts w:ascii="Arial" w:eastAsia="Calibri" w:hAnsi="Arial" w:cs="Arial"/>
          <w:i/>
          <w:iCs/>
          <w:sz w:val="18"/>
          <w:szCs w:val="18"/>
          <w:lang w:val="en-US"/>
        </w:rPr>
        <w:t>Advances in Scientific and Applied Accounting, (11)</w:t>
      </w:r>
      <w:r w:rsidRPr="007067D5">
        <w:rPr>
          <w:rFonts w:ascii="Arial" w:eastAsia="Calibri" w:hAnsi="Arial" w:cs="Arial"/>
          <w:sz w:val="18"/>
          <w:szCs w:val="18"/>
          <w:lang w:val="en-US"/>
        </w:rPr>
        <w:t xml:space="preserve">1, 166-185. </w:t>
      </w:r>
      <w:hyperlink r:id="rId49" w:history="1">
        <w:r w:rsidRPr="007067D5">
          <w:rPr>
            <w:rFonts w:ascii="Arial" w:eastAsia="Calibri" w:hAnsi="Arial" w:cs="Arial"/>
            <w:sz w:val="18"/>
            <w:szCs w:val="18"/>
            <w:lang w:val="en-US" w:eastAsia="en-US"/>
          </w:rPr>
          <w:t>https://asaa.anpcont.org.br/index.php/asaa/article/view/366</w:t>
        </w:r>
      </w:hyperlink>
    </w:p>
    <w:p w14:paraId="7823D767" w14:textId="77777777" w:rsidR="006B566E" w:rsidRPr="00D428F4" w:rsidRDefault="006B566E" w:rsidP="007067D5">
      <w:pPr>
        <w:widowControl/>
        <w:spacing w:before="40" w:line="240" w:lineRule="auto"/>
        <w:ind w:left="284" w:hanging="284"/>
        <w:rPr>
          <w:rFonts w:ascii="Arial" w:eastAsia="Calibri" w:hAnsi="Arial" w:cs="Arial"/>
          <w:sz w:val="18"/>
          <w:szCs w:val="18"/>
          <w:lang w:val="es-419"/>
        </w:rPr>
      </w:pPr>
      <w:r w:rsidRPr="007067D5">
        <w:rPr>
          <w:rFonts w:ascii="Arial" w:eastAsia="Calibri" w:hAnsi="Arial" w:cs="Arial"/>
          <w:sz w:val="18"/>
          <w:szCs w:val="18"/>
        </w:rPr>
        <w:t>Oliveira, F. B., &amp; Fontes, J. R. Filho. (2021). Mudanças nas configurações de governança corporativa e relações de agência: uma análise longitudinal em empresa de capital fechado. </w:t>
      </w:r>
      <w:r w:rsidRPr="00D428F4">
        <w:rPr>
          <w:rFonts w:ascii="Arial" w:eastAsia="Calibri" w:hAnsi="Arial" w:cs="Arial"/>
          <w:i/>
          <w:iCs/>
          <w:sz w:val="18"/>
          <w:szCs w:val="18"/>
          <w:lang w:val="es-419"/>
        </w:rPr>
        <w:t>Cadernos EBAPE. BR, 19</w:t>
      </w:r>
      <w:r w:rsidRPr="00D428F4">
        <w:rPr>
          <w:rFonts w:ascii="Arial" w:eastAsia="Calibri" w:hAnsi="Arial" w:cs="Arial"/>
          <w:sz w:val="18"/>
          <w:szCs w:val="18"/>
          <w:lang w:val="es-419"/>
        </w:rPr>
        <w:t xml:space="preserve">, 510-523. </w:t>
      </w:r>
      <w:hyperlink r:id="rId50" w:history="1">
        <w:r w:rsidRPr="00D428F4">
          <w:rPr>
            <w:rFonts w:ascii="Arial" w:eastAsia="Calibri" w:hAnsi="Arial" w:cs="Arial"/>
            <w:sz w:val="18"/>
            <w:szCs w:val="18"/>
            <w:lang w:val="es-419"/>
          </w:rPr>
          <w:t>https://doi.org/10.1590/1679-395120200107</w:t>
        </w:r>
      </w:hyperlink>
    </w:p>
    <w:p w14:paraId="120B732C"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D428F4">
        <w:rPr>
          <w:rFonts w:ascii="Arial" w:eastAsia="Calibri" w:hAnsi="Arial" w:cs="Arial"/>
          <w:sz w:val="18"/>
          <w:szCs w:val="18"/>
          <w:lang w:val="es-419"/>
        </w:rPr>
        <w:t xml:space="preserve">Peixoto, F. M., &amp; Buccini, A. R. A. (2013). </w:t>
      </w:r>
      <w:r w:rsidRPr="007067D5">
        <w:rPr>
          <w:rFonts w:ascii="Arial" w:eastAsia="Calibri" w:hAnsi="Arial" w:cs="Arial"/>
          <w:sz w:val="18"/>
          <w:szCs w:val="18"/>
        </w:rPr>
        <w:t>Separação entre propriedade e controle e sua relação com desempenho e valor de empresas brasileiras: onde estamos</w:t>
      </w:r>
      <w:r w:rsidRPr="007067D5">
        <w:rPr>
          <w:rFonts w:ascii="Arial" w:eastAsia="Calibri" w:hAnsi="Arial" w:cs="Arial"/>
          <w:i/>
          <w:iCs/>
          <w:sz w:val="18"/>
          <w:szCs w:val="18"/>
        </w:rPr>
        <w:t>? Revista de Contabilidade e Organizações, 7</w:t>
      </w:r>
      <w:r w:rsidRPr="007067D5">
        <w:rPr>
          <w:rFonts w:ascii="Arial" w:eastAsia="Calibri" w:hAnsi="Arial" w:cs="Arial"/>
          <w:sz w:val="18"/>
          <w:szCs w:val="18"/>
        </w:rPr>
        <w:t xml:space="preserve">(18), 48-59. </w:t>
      </w:r>
      <w:hyperlink r:id="rId51" w:history="1">
        <w:r w:rsidRPr="007067D5">
          <w:rPr>
            <w:rFonts w:ascii="Arial" w:eastAsia="Calibri" w:hAnsi="Arial" w:cs="Arial"/>
            <w:sz w:val="18"/>
            <w:szCs w:val="18"/>
          </w:rPr>
          <w:t>https://doi.org/10.11606/rco.v7i18.55613</w:t>
        </w:r>
      </w:hyperlink>
    </w:p>
    <w:p w14:paraId="5C4E1010"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rPr>
        <w:lastRenderedPageBreak/>
        <w:t xml:space="preserve">Pinto, M. B., &amp; Leal, R. P. C. (2013). </w:t>
      </w:r>
      <w:r w:rsidRPr="007067D5">
        <w:rPr>
          <w:rFonts w:ascii="Arial" w:eastAsia="Calibri" w:hAnsi="Arial" w:cs="Arial"/>
          <w:sz w:val="18"/>
          <w:szCs w:val="18"/>
          <w:lang w:val="en-US"/>
        </w:rPr>
        <w:t>Ownership concentration, top management and board compensation. </w:t>
      </w:r>
      <w:r w:rsidRPr="007067D5">
        <w:rPr>
          <w:rFonts w:ascii="Arial" w:eastAsia="Calibri" w:hAnsi="Arial" w:cs="Arial"/>
          <w:i/>
          <w:iCs/>
          <w:sz w:val="18"/>
          <w:szCs w:val="18"/>
        </w:rPr>
        <w:t>Revista de Administração Contemporânea, 17</w:t>
      </w:r>
      <w:r w:rsidRPr="007067D5">
        <w:rPr>
          <w:rFonts w:ascii="Arial" w:eastAsia="Calibri" w:hAnsi="Arial" w:cs="Arial"/>
          <w:sz w:val="18"/>
          <w:szCs w:val="18"/>
        </w:rPr>
        <w:t xml:space="preserve">(3), 304-324. </w:t>
      </w:r>
      <w:hyperlink r:id="rId52" w:history="1">
        <w:r w:rsidRPr="007067D5">
          <w:rPr>
            <w:rFonts w:ascii="Arial" w:eastAsia="Calibri" w:hAnsi="Arial" w:cs="Arial"/>
            <w:sz w:val="18"/>
            <w:szCs w:val="18"/>
          </w:rPr>
          <w:t>https://doi.org/10.1590/S1415-65552013000300004</w:t>
        </w:r>
      </w:hyperlink>
    </w:p>
    <w:p w14:paraId="39CB0EAE"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 xml:space="preserve">Renders, A., &amp; Gaeremynck, A. (2012). </w:t>
      </w:r>
      <w:r w:rsidRPr="007067D5">
        <w:rPr>
          <w:rFonts w:ascii="Arial" w:eastAsia="Calibri" w:hAnsi="Arial" w:cs="Arial"/>
          <w:sz w:val="18"/>
          <w:szCs w:val="18"/>
          <w:lang w:val="en-US"/>
        </w:rPr>
        <w:t>Corporate governance, principal</w:t>
      </w:r>
      <w:r w:rsidRPr="007067D5">
        <w:rPr>
          <w:rFonts w:ascii="Cambria Math" w:eastAsia="Calibri" w:hAnsi="Cambria Math" w:cs="Cambria Math"/>
          <w:sz w:val="18"/>
          <w:szCs w:val="18"/>
          <w:lang w:val="en-US"/>
        </w:rPr>
        <w:t>‐</w:t>
      </w:r>
      <w:r w:rsidRPr="007067D5">
        <w:rPr>
          <w:rFonts w:ascii="Arial" w:eastAsia="Calibri" w:hAnsi="Arial" w:cs="Arial"/>
          <w:sz w:val="18"/>
          <w:szCs w:val="18"/>
          <w:lang w:val="en-US"/>
        </w:rPr>
        <w:t>principal agency conflicts, and firm value in European listed companies. </w:t>
      </w:r>
      <w:r w:rsidRPr="007067D5">
        <w:rPr>
          <w:rFonts w:ascii="Arial" w:eastAsia="Calibri" w:hAnsi="Arial" w:cs="Arial"/>
          <w:i/>
          <w:iCs/>
          <w:sz w:val="18"/>
          <w:szCs w:val="18"/>
          <w:lang w:val="en-US"/>
        </w:rPr>
        <w:t>Corporate Governance: An International Review, 20</w:t>
      </w:r>
      <w:r w:rsidRPr="007067D5">
        <w:rPr>
          <w:rFonts w:ascii="Arial" w:eastAsia="Calibri" w:hAnsi="Arial" w:cs="Arial"/>
          <w:sz w:val="18"/>
          <w:szCs w:val="18"/>
          <w:lang w:val="en-US"/>
        </w:rPr>
        <w:t xml:space="preserve">(2), 125-143. </w:t>
      </w:r>
      <w:hyperlink r:id="rId53" w:history="1">
        <w:r w:rsidRPr="007067D5">
          <w:rPr>
            <w:rFonts w:ascii="Arial" w:eastAsia="Calibri" w:hAnsi="Arial" w:cs="Arial"/>
            <w:sz w:val="18"/>
            <w:szCs w:val="18"/>
            <w:lang w:val="en-US" w:eastAsia="en-US"/>
          </w:rPr>
          <w:t>https://doi.org/10.1111/j.1467-8683.2011.00900.x</w:t>
        </w:r>
      </w:hyperlink>
    </w:p>
    <w:p w14:paraId="3DFEED06"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Ribeiro, F., Colauto, R. D., &amp; Clemente, A. (2016). </w:t>
      </w:r>
      <w:r w:rsidRPr="007067D5">
        <w:rPr>
          <w:rFonts w:ascii="Arial" w:eastAsia="Calibri" w:hAnsi="Arial" w:cs="Arial"/>
          <w:sz w:val="18"/>
          <w:szCs w:val="18"/>
        </w:rPr>
        <w:t>Determinantes da formação de board interlocking no mercado de capitais brasileiro. </w:t>
      </w:r>
      <w:r w:rsidRPr="007067D5">
        <w:rPr>
          <w:rFonts w:ascii="Arial" w:eastAsia="Calibri" w:hAnsi="Arial" w:cs="Arial"/>
          <w:i/>
          <w:iCs/>
          <w:sz w:val="18"/>
          <w:szCs w:val="18"/>
        </w:rPr>
        <w:t>Revista de Educação e Pesquisa em Contabilidade, 10</w:t>
      </w:r>
      <w:r w:rsidRPr="007067D5">
        <w:rPr>
          <w:rFonts w:ascii="Arial" w:eastAsia="Calibri" w:hAnsi="Arial" w:cs="Arial"/>
          <w:sz w:val="18"/>
          <w:szCs w:val="18"/>
        </w:rPr>
        <w:t xml:space="preserve">(4), 398-415. </w:t>
      </w:r>
      <w:hyperlink r:id="rId54" w:history="1">
        <w:r w:rsidRPr="007067D5">
          <w:rPr>
            <w:rFonts w:ascii="Arial" w:eastAsia="Calibri" w:hAnsi="Arial" w:cs="Arial"/>
            <w:sz w:val="18"/>
            <w:szCs w:val="18"/>
          </w:rPr>
          <w:t>https://doi.org/10.17524/repec.v10i4.1403</w:t>
        </w:r>
      </w:hyperlink>
    </w:p>
    <w:p w14:paraId="77D7C16A"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Rossetti, J. P., &amp; Andrade, A. (2012). </w:t>
      </w:r>
      <w:r w:rsidRPr="007067D5">
        <w:rPr>
          <w:rFonts w:ascii="Arial" w:eastAsia="Calibri" w:hAnsi="Arial" w:cs="Arial"/>
          <w:i/>
          <w:iCs/>
          <w:sz w:val="18"/>
          <w:szCs w:val="18"/>
        </w:rPr>
        <w:t>Governança corporativa:</w:t>
      </w:r>
      <w:r w:rsidRPr="007067D5">
        <w:rPr>
          <w:rFonts w:ascii="Arial" w:eastAsia="Calibri" w:hAnsi="Arial" w:cs="Arial"/>
          <w:sz w:val="18"/>
          <w:szCs w:val="18"/>
        </w:rPr>
        <w:t xml:space="preserve"> fundamentos, desenvolvimento e tendências. </w:t>
      </w:r>
      <w:r w:rsidRPr="007067D5">
        <w:rPr>
          <w:rFonts w:ascii="Arial" w:eastAsia="Calibri" w:hAnsi="Arial" w:cs="Arial"/>
          <w:sz w:val="18"/>
          <w:szCs w:val="18"/>
          <w:lang w:val="en-US"/>
        </w:rPr>
        <w:t>6 ed. São Paulo: Atlas.</w:t>
      </w:r>
    </w:p>
    <w:p w14:paraId="2B23EF3A"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Salvato, C., &amp; Moores, K. (2010). Research on accounting in family firms: past accomplishments and future challenges. </w:t>
      </w:r>
      <w:r w:rsidRPr="007067D5">
        <w:rPr>
          <w:rFonts w:ascii="Arial" w:eastAsia="Calibri" w:hAnsi="Arial" w:cs="Arial"/>
          <w:i/>
          <w:iCs/>
          <w:sz w:val="18"/>
          <w:szCs w:val="18"/>
          <w:lang w:val="en-US"/>
        </w:rPr>
        <w:t>Family Business Review, 23</w:t>
      </w:r>
      <w:r w:rsidRPr="007067D5">
        <w:rPr>
          <w:rFonts w:ascii="Arial" w:eastAsia="Calibri" w:hAnsi="Arial" w:cs="Arial"/>
          <w:sz w:val="18"/>
          <w:szCs w:val="18"/>
          <w:lang w:val="en-US"/>
        </w:rPr>
        <w:t xml:space="preserve">(3), 193–215. </w:t>
      </w:r>
      <w:hyperlink r:id="rId55" w:history="1">
        <w:r w:rsidRPr="007067D5">
          <w:rPr>
            <w:rFonts w:ascii="Arial" w:eastAsia="Calibri" w:hAnsi="Arial" w:cs="Arial"/>
            <w:sz w:val="18"/>
            <w:szCs w:val="18"/>
            <w:lang w:val="en-US" w:eastAsia="en-US"/>
          </w:rPr>
          <w:t>https://doi.org/10.1177/0894486510375069</w:t>
        </w:r>
      </w:hyperlink>
    </w:p>
    <w:p w14:paraId="1C9D5751"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Shleifer, A., &amp; Vishny, R. W. (1997). A survey of corporate governance. </w:t>
      </w:r>
      <w:r w:rsidRPr="007067D5">
        <w:rPr>
          <w:rFonts w:ascii="Arial" w:eastAsia="Calibri" w:hAnsi="Arial" w:cs="Arial"/>
          <w:i/>
          <w:iCs/>
          <w:sz w:val="18"/>
          <w:szCs w:val="18"/>
          <w:lang w:val="en-US"/>
        </w:rPr>
        <w:t>The Journal of Finance, 52</w:t>
      </w:r>
      <w:r w:rsidRPr="007067D5">
        <w:rPr>
          <w:rFonts w:ascii="Arial" w:eastAsia="Calibri" w:hAnsi="Arial" w:cs="Arial"/>
          <w:sz w:val="18"/>
          <w:szCs w:val="18"/>
          <w:lang w:val="en-US"/>
        </w:rPr>
        <w:t xml:space="preserve">(2), 737-783. </w:t>
      </w:r>
      <w:hyperlink r:id="rId56" w:history="1">
        <w:r w:rsidRPr="007067D5">
          <w:rPr>
            <w:rFonts w:ascii="Arial" w:eastAsia="Calibri" w:hAnsi="Arial" w:cs="Arial"/>
            <w:sz w:val="18"/>
            <w:szCs w:val="18"/>
            <w:lang w:val="en-US" w:eastAsia="en-US"/>
          </w:rPr>
          <w:t>https://doi.org/10.1111/j.1540-6261.1997.tb04820.x</w:t>
        </w:r>
      </w:hyperlink>
    </w:p>
    <w:p w14:paraId="5B2B90B2" w14:textId="77777777" w:rsidR="006B566E" w:rsidRPr="007067D5" w:rsidRDefault="006B566E" w:rsidP="007067D5">
      <w:pPr>
        <w:widowControl/>
        <w:spacing w:before="40" w:line="240" w:lineRule="auto"/>
        <w:ind w:left="284" w:hanging="284"/>
        <w:rPr>
          <w:rFonts w:ascii="Arial" w:eastAsia="Calibri" w:hAnsi="Arial" w:cs="Arial"/>
          <w:sz w:val="18"/>
          <w:szCs w:val="18"/>
        </w:rPr>
      </w:pPr>
      <w:r w:rsidRPr="007067D5">
        <w:rPr>
          <w:rFonts w:ascii="Arial" w:eastAsia="Calibri" w:hAnsi="Arial" w:cs="Arial"/>
          <w:sz w:val="18"/>
          <w:szCs w:val="18"/>
          <w:lang w:val="en-US"/>
        </w:rPr>
        <w:t xml:space="preserve">Silva, B. S. da, Silva, D. G., Avelino, B. C., &amp; Bressan, V. G. F. (2020). </w:t>
      </w:r>
      <w:r w:rsidRPr="007067D5">
        <w:rPr>
          <w:rFonts w:ascii="Arial" w:eastAsia="Calibri" w:hAnsi="Arial" w:cs="Arial"/>
          <w:sz w:val="18"/>
          <w:szCs w:val="18"/>
        </w:rPr>
        <w:t>Governança corporativa: uma análise da relação entre o turnover da administração e o desempenho. </w:t>
      </w:r>
      <w:r w:rsidRPr="007067D5">
        <w:rPr>
          <w:rFonts w:ascii="Arial" w:eastAsia="Calibri" w:hAnsi="Arial" w:cs="Arial"/>
          <w:i/>
          <w:iCs/>
          <w:sz w:val="18"/>
          <w:szCs w:val="18"/>
        </w:rPr>
        <w:t>ForScience, 8</w:t>
      </w:r>
      <w:r w:rsidRPr="007067D5">
        <w:rPr>
          <w:rFonts w:ascii="Arial" w:eastAsia="Calibri" w:hAnsi="Arial" w:cs="Arial"/>
          <w:sz w:val="18"/>
          <w:szCs w:val="18"/>
        </w:rPr>
        <w:t xml:space="preserve">(2). </w:t>
      </w:r>
      <w:hyperlink r:id="rId57" w:history="1">
        <w:r w:rsidRPr="007067D5">
          <w:rPr>
            <w:rFonts w:ascii="Arial" w:eastAsia="Calibri" w:hAnsi="Arial" w:cs="Arial"/>
            <w:sz w:val="18"/>
            <w:szCs w:val="18"/>
          </w:rPr>
          <w:t>https://doi.org/10.29069/forscience.2020v8n2.e772</w:t>
        </w:r>
      </w:hyperlink>
    </w:p>
    <w:p w14:paraId="315AE770"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rPr>
        <w:t>Silva, N. D., Peixoto, F. M., &amp; Tizziotti, C. P. P. (2021). Características do conselho de administração e earnings management no Brasil: as estatais são diferentes? </w:t>
      </w:r>
      <w:r w:rsidRPr="007067D5">
        <w:rPr>
          <w:rFonts w:ascii="Arial" w:eastAsia="Calibri" w:hAnsi="Arial" w:cs="Arial"/>
          <w:i/>
          <w:iCs/>
          <w:sz w:val="18"/>
          <w:szCs w:val="18"/>
          <w:lang w:val="en-US"/>
        </w:rPr>
        <w:t>Revista Gest@o.org, 19</w:t>
      </w:r>
      <w:r w:rsidRPr="007067D5">
        <w:rPr>
          <w:rFonts w:ascii="Arial" w:eastAsia="Calibri" w:hAnsi="Arial" w:cs="Arial"/>
          <w:sz w:val="18"/>
          <w:szCs w:val="18"/>
          <w:lang w:val="en-US"/>
        </w:rPr>
        <w:t xml:space="preserve">(1), 52-71. </w:t>
      </w:r>
      <w:hyperlink r:id="rId58" w:history="1">
        <w:r w:rsidRPr="007067D5">
          <w:rPr>
            <w:rFonts w:ascii="Arial" w:eastAsia="Calibri" w:hAnsi="Arial" w:cs="Arial"/>
            <w:sz w:val="18"/>
            <w:szCs w:val="18"/>
            <w:lang w:val="en-US" w:eastAsia="en-US"/>
          </w:rPr>
          <w:t>https://doi.org/10.51359/1679-1827.2021.239657</w:t>
        </w:r>
      </w:hyperlink>
    </w:p>
    <w:p w14:paraId="076D8750"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Umans, I., Lybaert, N., Steijvers, T., &amp; Voordeckers, W. (2020). Succession planning in family firms: family governance practices, board of directors, and emotions. </w:t>
      </w:r>
      <w:r w:rsidRPr="007067D5">
        <w:rPr>
          <w:rFonts w:ascii="Arial" w:eastAsia="Calibri" w:hAnsi="Arial" w:cs="Arial"/>
          <w:i/>
          <w:iCs/>
          <w:sz w:val="18"/>
          <w:szCs w:val="18"/>
          <w:lang w:val="en-US"/>
        </w:rPr>
        <w:t>Small Business Economics, 54</w:t>
      </w:r>
      <w:r w:rsidRPr="007067D5">
        <w:rPr>
          <w:rFonts w:ascii="Arial" w:eastAsia="Calibri" w:hAnsi="Arial" w:cs="Arial"/>
          <w:sz w:val="18"/>
          <w:szCs w:val="18"/>
          <w:lang w:val="en-US"/>
        </w:rPr>
        <w:t xml:space="preserve">(1), 189-207. </w:t>
      </w:r>
      <w:hyperlink r:id="rId59" w:history="1">
        <w:r w:rsidRPr="007067D5">
          <w:rPr>
            <w:rFonts w:ascii="Arial" w:eastAsia="Calibri" w:hAnsi="Arial" w:cs="Arial"/>
            <w:sz w:val="18"/>
            <w:szCs w:val="18"/>
            <w:lang w:val="en-US" w:eastAsia="en-US"/>
          </w:rPr>
          <w:t>https://doi.org/10.1007/s11187-018-0078-5</w:t>
        </w:r>
      </w:hyperlink>
    </w:p>
    <w:p w14:paraId="0FECB074"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Vieira, C. A. M., &amp; Martins, O. S. (2018). </w:t>
      </w:r>
      <w:r w:rsidRPr="007067D5">
        <w:rPr>
          <w:rFonts w:ascii="Arial" w:eastAsia="Calibri" w:hAnsi="Arial" w:cs="Arial"/>
          <w:sz w:val="18"/>
          <w:szCs w:val="18"/>
        </w:rPr>
        <w:t>Influência da estrutura do conselho de administração e do controle corporativo no turnover do CEO das empresas abertas no Brasil. </w:t>
      </w:r>
      <w:r w:rsidRPr="007067D5">
        <w:rPr>
          <w:rFonts w:ascii="Arial" w:eastAsia="Calibri" w:hAnsi="Arial" w:cs="Arial"/>
          <w:i/>
          <w:iCs/>
          <w:sz w:val="18"/>
          <w:szCs w:val="18"/>
        </w:rPr>
        <w:t>Revista Contemporânea de Contabilidade, 15</w:t>
      </w:r>
      <w:r w:rsidRPr="007067D5">
        <w:rPr>
          <w:rFonts w:ascii="Arial" w:eastAsia="Calibri" w:hAnsi="Arial" w:cs="Arial"/>
          <w:sz w:val="18"/>
          <w:szCs w:val="18"/>
        </w:rPr>
        <w:t xml:space="preserve">(34), 181-201. </w:t>
      </w:r>
      <w:hyperlink r:id="rId60" w:history="1">
        <w:r w:rsidRPr="007067D5">
          <w:rPr>
            <w:rFonts w:ascii="Arial" w:eastAsia="Calibri" w:hAnsi="Arial" w:cs="Arial"/>
            <w:sz w:val="18"/>
            <w:szCs w:val="18"/>
            <w:lang w:val="en-US"/>
          </w:rPr>
          <w:t>https://doi.org/10.5007/2175-8069.2019v15n34p181</w:t>
        </w:r>
      </w:hyperlink>
    </w:p>
    <w:p w14:paraId="063A01F3" w14:textId="77777777" w:rsidR="006B566E" w:rsidRPr="007067D5"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eastAsia="Calibri" w:hAnsi="Arial" w:cs="Arial"/>
          <w:sz w:val="18"/>
          <w:szCs w:val="18"/>
          <w:lang w:val="en-US"/>
        </w:rPr>
        <w:t xml:space="preserve">Wooldridge, J. M. (2002). </w:t>
      </w:r>
      <w:r w:rsidRPr="007067D5">
        <w:rPr>
          <w:rFonts w:ascii="Arial" w:eastAsia="Calibri" w:hAnsi="Arial" w:cs="Arial"/>
          <w:i/>
          <w:iCs/>
          <w:sz w:val="18"/>
          <w:szCs w:val="18"/>
          <w:lang w:val="en-US"/>
        </w:rPr>
        <w:t>Econometric analysis of cross section and panel data</w:t>
      </w:r>
      <w:r w:rsidRPr="007067D5">
        <w:rPr>
          <w:rFonts w:ascii="Arial" w:eastAsia="Calibri" w:hAnsi="Arial" w:cs="Arial"/>
          <w:sz w:val="18"/>
          <w:szCs w:val="18"/>
          <w:lang w:val="en-US"/>
        </w:rPr>
        <w:t>. Massachusetts – EUA: MIT Press.</w:t>
      </w:r>
    </w:p>
    <w:p w14:paraId="7A697667" w14:textId="77777777" w:rsidR="006B566E" w:rsidRPr="00D428F4" w:rsidRDefault="006B566E" w:rsidP="007067D5">
      <w:pPr>
        <w:widowControl/>
        <w:spacing w:before="40" w:line="240" w:lineRule="auto"/>
        <w:ind w:left="284" w:hanging="284"/>
        <w:rPr>
          <w:rFonts w:ascii="Arial" w:eastAsia="Calibri" w:hAnsi="Arial" w:cs="Arial"/>
          <w:sz w:val="18"/>
          <w:szCs w:val="18"/>
          <w:lang w:val="en-US"/>
        </w:rPr>
      </w:pPr>
      <w:r w:rsidRPr="007067D5">
        <w:rPr>
          <w:rFonts w:ascii="Arial" w:hAnsi="Arial" w:cs="Arial"/>
          <w:sz w:val="18"/>
          <w:szCs w:val="18"/>
          <w:lang w:val="en-US"/>
        </w:rPr>
        <w:t>Young, M. N., Peng, M. W., Ahlstrom, D., Bruton, G. D., &amp; Jiang, Y. (2008). Corporate governance in emerging economies: a review of the principal–principal perspective</w:t>
      </w:r>
      <w:r w:rsidRPr="007067D5">
        <w:rPr>
          <w:rFonts w:ascii="Arial" w:hAnsi="Arial" w:cs="Arial"/>
          <w:i/>
          <w:iCs/>
          <w:sz w:val="18"/>
          <w:szCs w:val="18"/>
          <w:lang w:val="en-US"/>
        </w:rPr>
        <w:t>. </w:t>
      </w:r>
      <w:r w:rsidRPr="007067D5">
        <w:rPr>
          <w:rFonts w:ascii="Arial" w:hAnsi="Arial" w:cs="Arial"/>
          <w:i/>
          <w:iCs/>
          <w:sz w:val="18"/>
          <w:szCs w:val="18"/>
          <w:lang w:val="x-none"/>
        </w:rPr>
        <w:t>Journal of Management Studies, 45</w:t>
      </w:r>
      <w:r w:rsidRPr="00D428F4">
        <w:rPr>
          <w:rFonts w:ascii="Arial" w:eastAsia="Calibri" w:hAnsi="Arial" w:cs="Arial"/>
          <w:sz w:val="18"/>
          <w:szCs w:val="18"/>
          <w:lang w:val="en-US"/>
        </w:rPr>
        <w:t xml:space="preserve">(1), 196-220. </w:t>
      </w:r>
      <w:hyperlink r:id="rId61" w:history="1">
        <w:r w:rsidRPr="00D428F4">
          <w:rPr>
            <w:rFonts w:ascii="Arial" w:eastAsia="Calibri" w:hAnsi="Arial" w:cs="Arial"/>
            <w:sz w:val="18"/>
            <w:szCs w:val="18"/>
            <w:lang w:val="en-US"/>
          </w:rPr>
          <w:t>https://doi.org/10.1111/j.1467-6486.2007.00752.x</w:t>
        </w:r>
      </w:hyperlink>
    </w:p>
    <w:p w14:paraId="3AF05749" w14:textId="77777777" w:rsidR="00C662DC" w:rsidRPr="00D428F4" w:rsidRDefault="00C662DC" w:rsidP="0022687F">
      <w:pPr>
        <w:spacing w:before="240" w:line="240" w:lineRule="auto"/>
        <w:rPr>
          <w:rFonts w:ascii="Arial" w:hAnsi="Arial" w:cs="Arial"/>
          <w:b/>
          <w:sz w:val="18"/>
          <w:szCs w:val="18"/>
          <w:shd w:val="clear" w:color="auto" w:fill="FFFFFF"/>
          <w:lang w:val="en-US"/>
        </w:rPr>
      </w:pPr>
      <w:r w:rsidRPr="00D428F4">
        <w:rPr>
          <w:rFonts w:ascii="Arial" w:hAnsi="Arial" w:cs="Arial"/>
          <w:b/>
          <w:sz w:val="18"/>
          <w:szCs w:val="18"/>
          <w:shd w:val="clear" w:color="auto" w:fill="FFFFFF"/>
          <w:lang w:val="en-US"/>
        </w:rPr>
        <w:t>Endereço do Autor:</w:t>
      </w:r>
    </w:p>
    <w:p w14:paraId="31516DC0" w14:textId="77777777" w:rsidR="00C662DC" w:rsidRPr="0022687F" w:rsidRDefault="00C662DC" w:rsidP="00927EB8">
      <w:pPr>
        <w:spacing w:before="240" w:line="240" w:lineRule="auto"/>
        <w:rPr>
          <w:rFonts w:ascii="Arial" w:hAnsi="Arial" w:cs="Arial"/>
          <w:sz w:val="18"/>
          <w:szCs w:val="18"/>
          <w:shd w:val="clear" w:color="auto" w:fill="FFFFFF"/>
        </w:rPr>
      </w:pPr>
      <w:r w:rsidRPr="0022687F">
        <w:rPr>
          <w:rFonts w:ascii="Arial" w:hAnsi="Arial" w:cs="Arial"/>
          <w:sz w:val="18"/>
          <w:szCs w:val="18"/>
          <w:shd w:val="clear" w:color="auto" w:fill="FFFFFF"/>
        </w:rPr>
        <w:t>Instituto Federal de Educação, Ciência e Tecnologia do Ceará – Campus Baturité</w:t>
      </w:r>
    </w:p>
    <w:p w14:paraId="1BEC3D9D" w14:textId="77777777" w:rsidR="00C662DC" w:rsidRPr="0022687F" w:rsidRDefault="00C662DC" w:rsidP="00927EB8">
      <w:pPr>
        <w:spacing w:line="240" w:lineRule="auto"/>
        <w:rPr>
          <w:rFonts w:ascii="Arial" w:hAnsi="Arial" w:cs="Arial"/>
          <w:sz w:val="18"/>
          <w:szCs w:val="18"/>
          <w:shd w:val="clear" w:color="auto" w:fill="FFFFFF"/>
        </w:rPr>
      </w:pPr>
      <w:r w:rsidRPr="0022687F">
        <w:rPr>
          <w:rFonts w:ascii="Arial" w:hAnsi="Arial" w:cs="Arial"/>
          <w:sz w:val="18"/>
          <w:szCs w:val="18"/>
          <w:shd w:val="clear" w:color="auto" w:fill="FFFFFF"/>
        </w:rPr>
        <w:t>Av. Ouvidor V</w:t>
      </w:r>
      <w:r w:rsidR="00927EB8">
        <w:rPr>
          <w:rFonts w:ascii="Arial" w:hAnsi="Arial" w:cs="Arial"/>
          <w:sz w:val="18"/>
          <w:szCs w:val="18"/>
          <w:shd w:val="clear" w:color="auto" w:fill="FFFFFF"/>
        </w:rPr>
        <w:t>itóriano Soares Barbosa, 160</w:t>
      </w:r>
    </w:p>
    <w:p w14:paraId="510461DD" w14:textId="77777777" w:rsidR="00C662DC" w:rsidRPr="0022687F" w:rsidRDefault="00C662DC" w:rsidP="00927EB8">
      <w:pPr>
        <w:spacing w:line="240" w:lineRule="auto"/>
        <w:rPr>
          <w:rFonts w:ascii="Arial" w:hAnsi="Arial" w:cs="Arial"/>
          <w:sz w:val="18"/>
          <w:szCs w:val="18"/>
          <w:shd w:val="clear" w:color="auto" w:fill="FFFFFF"/>
        </w:rPr>
      </w:pPr>
      <w:r w:rsidRPr="0022687F">
        <w:rPr>
          <w:rFonts w:ascii="Arial" w:hAnsi="Arial" w:cs="Arial"/>
          <w:sz w:val="18"/>
          <w:szCs w:val="18"/>
          <w:shd w:val="clear" w:color="auto" w:fill="FFFFFF"/>
        </w:rPr>
        <w:t>Sanharão, Baturité – C</w:t>
      </w:r>
      <w:r w:rsidR="00927EB8">
        <w:rPr>
          <w:rFonts w:ascii="Arial" w:hAnsi="Arial" w:cs="Arial"/>
          <w:sz w:val="18"/>
          <w:szCs w:val="18"/>
          <w:shd w:val="clear" w:color="auto" w:fill="FFFFFF"/>
        </w:rPr>
        <w:t>eará</w:t>
      </w:r>
      <w:r w:rsidRPr="0022687F">
        <w:rPr>
          <w:rFonts w:ascii="Arial" w:hAnsi="Arial" w:cs="Arial"/>
          <w:sz w:val="18"/>
          <w:szCs w:val="18"/>
          <w:shd w:val="clear" w:color="auto" w:fill="FFFFFF"/>
        </w:rPr>
        <w:t xml:space="preserve"> - Brasil</w:t>
      </w:r>
    </w:p>
    <w:p w14:paraId="302B2D1C" w14:textId="77777777" w:rsidR="0064216B" w:rsidRPr="00283E43" w:rsidRDefault="00927EB8" w:rsidP="00927EB8">
      <w:pPr>
        <w:spacing w:line="240" w:lineRule="auto"/>
        <w:rPr>
          <w:rFonts w:ascii="Arial" w:hAnsi="Arial" w:cs="Arial"/>
          <w:sz w:val="18"/>
          <w:szCs w:val="18"/>
        </w:rPr>
      </w:pPr>
      <w:r w:rsidRPr="0022687F">
        <w:rPr>
          <w:rFonts w:ascii="Arial" w:hAnsi="Arial" w:cs="Arial"/>
          <w:sz w:val="18"/>
          <w:szCs w:val="18"/>
          <w:shd w:val="clear" w:color="auto" w:fill="FFFFFF"/>
        </w:rPr>
        <w:t>62760-000</w:t>
      </w:r>
    </w:p>
    <w:p w14:paraId="036E4C24" w14:textId="77777777" w:rsidR="0064216B" w:rsidRPr="00283E43" w:rsidRDefault="0064216B" w:rsidP="00A33AF3">
      <w:pPr>
        <w:spacing w:before="240" w:line="240" w:lineRule="auto"/>
        <w:rPr>
          <w:rFonts w:ascii="Arial" w:hAnsi="Arial" w:cs="Arial"/>
          <w:sz w:val="18"/>
          <w:szCs w:val="18"/>
        </w:rPr>
      </w:pPr>
    </w:p>
    <w:sectPr w:rsidR="0064216B" w:rsidRPr="00283E43" w:rsidSect="009566E7">
      <w:headerReference w:type="even" r:id="rId62"/>
      <w:headerReference w:type="default" r:id="rId63"/>
      <w:footerReference w:type="even" r:id="rId64"/>
      <w:footerReference w:type="default" r:id="rId65"/>
      <w:headerReference w:type="first" r:id="rId66"/>
      <w:footerReference w:type="first" r:id="rId67"/>
      <w:type w:val="continuous"/>
      <w:pgSz w:w="9639" w:h="13608" w:code="9"/>
      <w:pgMar w:top="567" w:right="737" w:bottom="567" w:left="737" w:header="284" w:footer="284" w:gutter="0"/>
      <w:pgNumType w:start="69"/>
      <w:cols w:space="284"/>
      <w:titlePg/>
      <w:docGrid w:linePitch="326"/>
    </w:sectPr>
  </w:body>
</w:document>
</file>

<file path=word/customizations.xml><?xml version="1.0" encoding="utf-8"?>
<wne:tcg xmlns:r="http://schemas.openxmlformats.org/officeDocument/2006/relationships" xmlns:wne="http://schemas.microsoft.com/office/word/2006/wordml">
  <wne:keymaps>
    <wne:keymap wne:kcmPrimary="024B">
      <wne:acd wne:acdName="acd16"/>
    </wne:keymap>
    <wne:keymap wne:kcmPrimary="0341">
      <wne:acd wne:acdName="acd5"/>
    </wne:keymap>
    <wne:keymap wne:kcmPrimary="0346">
      <wne:macro wne:macroName="PROJECT.NEWMACROS.TÍTULODEFIGURA"/>
    </wne:keymap>
    <wne:keymap wne:kcmPrimary="034E">
      <wne:acd wne:acdName="acd13"/>
    </wne:keymap>
    <wne:keymap wne:kcmPrimary="0350">
      <wne:acd wne:acdName="acd14"/>
    </wne:keymap>
    <wne:keymap wne:kcmPrimary="0351">
      <wne:macro wne:macroName="PROJECT.NEWMACROS.TÍTULODEQUADRO"/>
    </wne:keymap>
    <wne:keymap wne:kcmPrimary="0352">
      <wne:acd wne:acdName="acd11"/>
    </wne:keymap>
    <wne:keymap wne:kcmPrimary="0354">
      <wne:macro wne:macroName="PROJECT.NEWMACROS.TÍTULODETABELA"/>
    </wne:keymap>
    <wne:keymap wne:kcmPrimary="0431">
      <wne:acd wne:acdName="acd6"/>
    </wne:keymap>
    <wne:keymap wne:kcmPrimary="0432">
      <wne:acd wne:acdName="acd7"/>
    </wne:keymap>
    <wne:keymap wne:kcmPrimary="0433">
      <wne:acd wne:acdName="acd8"/>
    </wne:keymap>
    <wne:keymap wne:kcmPrimary="0434">
      <wne:acd wne:acdName="acd9"/>
    </wne:keymap>
    <wne:keymap wne:kcmPrimary="0435">
      <wne:acd wne:acdName="acd10"/>
    </wne:keymap>
    <wne:keymap wne:kcmPrimary="0436">
      <wne:acd wne:acdName="acd12"/>
    </wne:keymap>
    <wne:keymap wne:kcmPrimary="0443">
      <wne:acd wne:acdName="acd3"/>
    </wne:keymap>
    <wne:keymap wne:kcmPrimary="044C">
      <wne:acd wne:acdName="acd1"/>
    </wne:keymap>
    <wne:keymap wne:kcmPrimary="044D">
      <wne:acd wne:acdName="acd0"/>
    </wne:keymap>
    <wne:keymap wne:kcmPrimary="044E">
      <wne:acd wne:acdName="acd2"/>
    </wne:keymap>
    <wne:keymap wne:kcmPrimary="0452">
      <wne:acd wne:acdName="acd4"/>
    </wne:keymap>
    <wne:keymap wne:kcmPrimary="0654">
      <wne:acd wne:acdName="acd1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Manifest>
  </wne:toolbars>
  <wne:acds>
    <wne:acd wne:argValue="AgBjAG8AbQAgAG0AYQByAGMAYQBkAG8AcgAoAG4A4wBvACAAbgB1AG0AZQByAGEAZABvACkA" wne:acdName="acd0" wne:fciIndexBasedOn="0065"/>
    <wne:acd wne:argValue="AgBjAG8AbQAgAG0AYQByAGMAYQBkAG8AcgAgAG4AdQBtAGUAcgBhAGQAbwA=" wne:acdName="acd1" wne:fciIndexBasedOn="0065"/>
    <wne:acd wne:argValue="AgBNAEEAUgBDAEEARABPAFIAUwBFAFEATgBVAE0A" wne:acdName="acd2" wne:fciIndexBasedOn="0065"/>
    <wne:acd wne:argValue="AgBDAGkAdABhAOcA4wBvAA==" wne:acdName="acd3" wne:fciIndexBasedOn="0065"/>
    <wne:acd wne:argValue="AgByAGUAZgBlAHIA6gBuAGMAaQBhAHMA" wne:acdName="acd4" wne:fciIndexBasedOn="0065"/>
    <wne:acd wne:argValue="AgBhAHUAdABvAHIAZQBzAA==" wne:acdName="acd5" wne:fciIndexBasedOn="0065"/>
    <wne:acd wne:argValue="AQAAAAEA" wne:acdName="acd6" wne:fciIndexBasedOn="0065"/>
    <wne:acd wne:argValue="AQAAAAIA" wne:acdName="acd7" wne:fciIndexBasedOn="0065"/>
    <wne:acd wne:argValue="AQAAAAMA" wne:acdName="acd8" wne:fciIndexBasedOn="0065"/>
    <wne:acd wne:argValue="AQAAAAQA" wne:acdName="acd9" wne:fciIndexBasedOn="0065"/>
    <wne:acd wne:argValue="AQAAAAUA" wne:acdName="acd10" wne:fciIndexBasedOn="0065"/>
    <wne:acd wne:argValue="AgBSAGUAcwB1AG0AbwA=" wne:acdName="acd11" wne:fciIndexBasedOn="0065"/>
    <wne:acd wne:argValue="AQAAAAYA" wne:acdName="acd12" wne:fciIndexBasedOn="0065"/>
    <wne:acd wne:argValue="AQAAAAAA" wne:acdName="acd13" wne:fciIndexBasedOn="0065"/>
    <wne:acd wne:argValue="AgBQAGEAbABhAHYAcgBhAHMAYwBoAGEAdgBlAHMA" wne:acdName="acd14" wne:fciIndexBasedOn="0065"/>
    <wne:acd wne:argValue="AQAAAD4A" wne:acdName="acd15" wne:fciIndexBasedOn="0065"/>
    <wne:acd wne:argValue="AgBBAHQAaQB2AGkAZABhAGQAZQBzAA==" wne:acdName="acd1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29286" w14:textId="77777777" w:rsidR="00943D71" w:rsidRDefault="00943D71">
      <w:r>
        <w:separator/>
      </w:r>
    </w:p>
  </w:endnote>
  <w:endnote w:type="continuationSeparator" w:id="0">
    <w:p w14:paraId="775FB716" w14:textId="77777777" w:rsidR="00943D71" w:rsidRDefault="00943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sar fonte para texto asiático">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dine401 BT">
    <w:altName w:val="Cambria"/>
    <w:charset w:val="00"/>
    <w:family w:val="roman"/>
    <w:pitch w:val="variable"/>
    <w:sig w:usb0="00000087" w:usb1="00000000" w:usb2="00000000" w:usb3="00000000" w:csb0="0000001B" w:csb1="00000000"/>
  </w:font>
  <w:font w:name="MS Mincho">
    <w:altName w:val="ＭＳ 明朝"/>
    <w:panose1 w:val="02020609040205080304"/>
    <w:charset w:val="80"/>
    <w:family w:val="roman"/>
    <w:notTrueType/>
    <w:pitch w:val="fixed"/>
    <w:sig w:usb0="00000000" w:usb1="08070000" w:usb2="00000010" w:usb3="00000000" w:csb0="00020000" w:csb1="00000000"/>
  </w:font>
  <w:font w:name="StarSymbol">
    <w:altName w:val="Segoe UI Symbol"/>
    <w:panose1 w:val="00000000000000000000"/>
    <w:charset w:val="02"/>
    <w:family w:val="auto"/>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Optima">
    <w:altName w:val="Times New Roman"/>
    <w:panose1 w:val="00000000000000000000"/>
    <w:charset w:val="00"/>
    <w:family w:val="swiss"/>
    <w:notTrueType/>
    <w:pitch w:val="default"/>
    <w:sig w:usb0="00000003" w:usb1="00000000" w:usb2="00000000" w:usb3="00000000" w:csb0="00000001" w:csb1="00000000"/>
  </w:font>
  <w:font w:name="GothamLight">
    <w:altName w:val="Calibri"/>
    <w:panose1 w:val="00000000000000000000"/>
    <w:charset w:val="00"/>
    <w:family w:val="swiss"/>
    <w:notTrueType/>
    <w:pitch w:val="default"/>
    <w:sig w:usb0="00000003" w:usb1="00000000" w:usb2="00000000" w:usb3="00000000" w:csb0="00000001" w:csb1="00000000"/>
  </w:font>
  <w:font w:name="Myriad Pro">
    <w:altName w:val="Calibri"/>
    <w:charset w:val="00"/>
    <w:family w:val="swiss"/>
    <w:pitch w:val="default"/>
  </w:font>
  <w:font w:name="Yu Gothic Light">
    <w:panose1 w:val="020B0300000000000000"/>
    <w:charset w:val="80"/>
    <w:family w:val="swiss"/>
    <w:pitch w:val="variable"/>
    <w:sig w:usb0="E00002FF" w:usb1="2AC7FDFF" w:usb2="00000016" w:usb3="00000000" w:csb0="0002009F" w:csb1="00000000"/>
  </w:font>
  <w:font w:name="Helvetica LT">
    <w:altName w:val="Helvetica L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152" w:type="dxa"/>
      <w:tblInd w:w="10" w:type="dxa"/>
      <w:tblBorders>
        <w:top w:val="single" w:sz="12" w:space="0" w:color="0000CC"/>
        <w:left w:val="single" w:sz="12" w:space="0" w:color="0000CC"/>
        <w:bottom w:val="single" w:sz="12" w:space="0" w:color="0000CC"/>
        <w:right w:val="single" w:sz="12" w:space="0" w:color="0000CC"/>
        <w:insideH w:val="single" w:sz="12" w:space="0" w:color="0000CC"/>
        <w:insideV w:val="single" w:sz="12" w:space="0" w:color="0000CC"/>
      </w:tblBorders>
      <w:tblCellMar>
        <w:left w:w="0" w:type="dxa"/>
        <w:right w:w="0" w:type="dxa"/>
      </w:tblCellMar>
      <w:tblLook w:val="04A0" w:firstRow="1" w:lastRow="0" w:firstColumn="1" w:lastColumn="0" w:noHBand="0" w:noVBand="1"/>
    </w:tblPr>
    <w:tblGrid>
      <w:gridCol w:w="1809"/>
      <w:gridCol w:w="1621"/>
      <w:gridCol w:w="807"/>
      <w:gridCol w:w="801"/>
      <w:gridCol w:w="918"/>
      <w:gridCol w:w="2196"/>
    </w:tblGrid>
    <w:tr w:rsidR="0085536D" w:rsidRPr="003A56CE" w14:paraId="7F1803E5" w14:textId="77777777" w:rsidTr="005C33F1">
      <w:trPr>
        <w:trHeight w:hRule="exact" w:val="284"/>
      </w:trPr>
      <w:tc>
        <w:tcPr>
          <w:tcW w:w="1110" w:type="pct"/>
          <w:noWrap/>
          <w:vAlign w:val="center"/>
        </w:tcPr>
        <w:p w14:paraId="7B4D4B97"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Enf.: Ref. Cont.</w:t>
          </w:r>
        </w:p>
      </w:tc>
      <w:tc>
        <w:tcPr>
          <w:tcW w:w="994" w:type="pct"/>
          <w:noWrap/>
          <w:vAlign w:val="center"/>
        </w:tcPr>
        <w:p w14:paraId="5F59E527"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UEM - Paraná</w:t>
          </w:r>
        </w:p>
      </w:tc>
      <w:tc>
        <w:tcPr>
          <w:tcW w:w="495" w:type="pct"/>
          <w:noWrap/>
          <w:vAlign w:val="center"/>
        </w:tcPr>
        <w:p w14:paraId="16B8E868"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 xml:space="preserve">v. </w:t>
          </w:r>
          <w:r>
            <w:rPr>
              <w:rFonts w:ascii="Arial" w:hAnsi="Arial" w:cs="Arial"/>
              <w:sz w:val="16"/>
              <w:lang w:val="pt-BR"/>
            </w:rPr>
            <w:t>43</w:t>
          </w:r>
        </w:p>
      </w:tc>
      <w:tc>
        <w:tcPr>
          <w:tcW w:w="491" w:type="pct"/>
          <w:noWrap/>
          <w:vAlign w:val="center"/>
        </w:tcPr>
        <w:p w14:paraId="4EB88C16"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 xml:space="preserve">n. </w:t>
          </w:r>
          <w:r>
            <w:rPr>
              <w:rFonts w:ascii="Arial" w:hAnsi="Arial" w:cs="Arial"/>
              <w:sz w:val="16"/>
              <w:lang w:val="pt-BR"/>
            </w:rPr>
            <w:t>1</w:t>
          </w:r>
        </w:p>
      </w:tc>
      <w:tc>
        <w:tcPr>
          <w:tcW w:w="563" w:type="pct"/>
          <w:noWrap/>
          <w:vAlign w:val="center"/>
        </w:tcPr>
        <w:p w14:paraId="18E30B93" w14:textId="6EBE6002" w:rsidR="0085536D" w:rsidRPr="00D27E23" w:rsidRDefault="0085536D" w:rsidP="00DC6B69">
          <w:pPr>
            <w:pStyle w:val="Rodap"/>
            <w:jc w:val="center"/>
            <w:rPr>
              <w:rFonts w:ascii="Arial" w:hAnsi="Arial" w:cs="Arial"/>
              <w:sz w:val="16"/>
              <w:lang w:val="pt-BR"/>
            </w:rPr>
          </w:pPr>
          <w:r w:rsidRPr="00D27E23">
            <w:rPr>
              <w:rFonts w:ascii="Arial" w:hAnsi="Arial" w:cs="Arial"/>
              <w:sz w:val="16"/>
              <w:lang w:val="pt-BR"/>
            </w:rPr>
            <w:t xml:space="preserve">p. </w:t>
          </w:r>
          <w:r w:rsidR="00DC6B69">
            <w:rPr>
              <w:rFonts w:ascii="Arial" w:hAnsi="Arial" w:cs="Arial"/>
              <w:sz w:val="16"/>
              <w:lang w:val="pt-BR"/>
            </w:rPr>
            <w:t>69-89</w:t>
          </w:r>
        </w:p>
      </w:tc>
      <w:tc>
        <w:tcPr>
          <w:tcW w:w="1348" w:type="pct"/>
          <w:noWrap/>
          <w:vAlign w:val="center"/>
        </w:tcPr>
        <w:p w14:paraId="593FC93D" w14:textId="77777777" w:rsidR="0085536D" w:rsidRPr="00D27E23" w:rsidRDefault="0085536D" w:rsidP="005C33F1">
          <w:pPr>
            <w:pStyle w:val="Rodap"/>
            <w:jc w:val="center"/>
            <w:rPr>
              <w:rFonts w:ascii="Arial" w:hAnsi="Arial" w:cs="Arial"/>
              <w:sz w:val="16"/>
              <w:lang w:val="pt-BR"/>
            </w:rPr>
          </w:pPr>
          <w:r>
            <w:rPr>
              <w:rFonts w:ascii="Arial" w:hAnsi="Arial" w:cs="Arial"/>
              <w:sz w:val="16"/>
              <w:lang w:val="pt-BR"/>
            </w:rPr>
            <w:t>janeiro</w:t>
          </w:r>
          <w:r w:rsidRPr="00D27E23">
            <w:rPr>
              <w:rFonts w:ascii="Arial" w:hAnsi="Arial" w:cs="Arial"/>
              <w:sz w:val="16"/>
              <w:lang w:val="pt-BR"/>
            </w:rPr>
            <w:t xml:space="preserve"> / </w:t>
          </w:r>
          <w:r>
            <w:rPr>
              <w:rFonts w:ascii="Arial" w:hAnsi="Arial" w:cs="Arial"/>
              <w:sz w:val="16"/>
              <w:lang w:val="pt-BR"/>
            </w:rPr>
            <w:t>abril</w:t>
          </w:r>
          <w:r w:rsidRPr="00D27E23">
            <w:rPr>
              <w:rFonts w:ascii="Arial" w:hAnsi="Arial" w:cs="Arial"/>
              <w:sz w:val="16"/>
              <w:lang w:val="pt-BR"/>
            </w:rPr>
            <w:t xml:space="preserve"> 20</w:t>
          </w:r>
          <w:r>
            <w:rPr>
              <w:rFonts w:ascii="Arial" w:hAnsi="Arial" w:cs="Arial"/>
              <w:sz w:val="16"/>
              <w:lang w:val="pt-BR"/>
            </w:rPr>
            <w:t>24</w:t>
          </w:r>
        </w:p>
      </w:tc>
    </w:tr>
  </w:tbl>
  <w:p w14:paraId="575A671E" w14:textId="77777777" w:rsidR="0085536D" w:rsidRPr="00883F0B" w:rsidRDefault="0085536D">
    <w:pPr>
      <w:pStyle w:val="Rodap"/>
      <w:rPr>
        <w:rFonts w:ascii="Arial" w:hAnsi="Arial" w:cs="Arial"/>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166" w:type="dxa"/>
      <w:tblInd w:w="10" w:type="dxa"/>
      <w:tblBorders>
        <w:top w:val="single" w:sz="12" w:space="0" w:color="0000CC"/>
        <w:left w:val="single" w:sz="12" w:space="0" w:color="0000CC"/>
        <w:bottom w:val="single" w:sz="12" w:space="0" w:color="0000CC"/>
        <w:right w:val="single" w:sz="12" w:space="0" w:color="0000CC"/>
        <w:insideH w:val="single" w:sz="12" w:space="0" w:color="0000CC"/>
        <w:insideV w:val="single" w:sz="12" w:space="0" w:color="0000CC"/>
      </w:tblBorders>
      <w:tblCellMar>
        <w:left w:w="0" w:type="dxa"/>
        <w:right w:w="0" w:type="dxa"/>
      </w:tblCellMar>
      <w:tblLook w:val="04A0" w:firstRow="1" w:lastRow="0" w:firstColumn="1" w:lastColumn="0" w:noHBand="0" w:noVBand="1"/>
    </w:tblPr>
    <w:tblGrid>
      <w:gridCol w:w="1810"/>
      <w:gridCol w:w="1620"/>
      <w:gridCol w:w="807"/>
      <w:gridCol w:w="800"/>
      <w:gridCol w:w="918"/>
      <w:gridCol w:w="2211"/>
    </w:tblGrid>
    <w:tr w:rsidR="0085536D" w:rsidRPr="003A56CE" w14:paraId="24127AF8" w14:textId="77777777" w:rsidTr="008D1B02">
      <w:trPr>
        <w:trHeight w:hRule="exact" w:val="284"/>
      </w:trPr>
      <w:tc>
        <w:tcPr>
          <w:tcW w:w="1108" w:type="pct"/>
          <w:noWrap/>
          <w:vAlign w:val="center"/>
        </w:tcPr>
        <w:p w14:paraId="3496CCC7"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Enf.: Ref. Cont.</w:t>
          </w:r>
        </w:p>
      </w:tc>
      <w:tc>
        <w:tcPr>
          <w:tcW w:w="992" w:type="pct"/>
          <w:noWrap/>
          <w:vAlign w:val="center"/>
        </w:tcPr>
        <w:p w14:paraId="183AADE9"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UEM - Paraná</w:t>
          </w:r>
        </w:p>
      </w:tc>
      <w:tc>
        <w:tcPr>
          <w:tcW w:w="494" w:type="pct"/>
          <w:noWrap/>
          <w:vAlign w:val="center"/>
        </w:tcPr>
        <w:p w14:paraId="1E2E7F4A" w14:textId="77777777" w:rsidR="0085536D" w:rsidRPr="00D27E23" w:rsidRDefault="0085536D" w:rsidP="00883F0B">
          <w:pPr>
            <w:pStyle w:val="Rodap"/>
            <w:jc w:val="center"/>
            <w:rPr>
              <w:rFonts w:ascii="Arial" w:hAnsi="Arial" w:cs="Arial"/>
              <w:sz w:val="16"/>
              <w:lang w:val="pt-BR"/>
            </w:rPr>
          </w:pPr>
          <w:r w:rsidRPr="00D27E23">
            <w:rPr>
              <w:rFonts w:ascii="Arial" w:hAnsi="Arial" w:cs="Arial"/>
              <w:sz w:val="16"/>
              <w:lang w:val="pt-BR"/>
            </w:rPr>
            <w:t xml:space="preserve">v. </w:t>
          </w:r>
          <w:r>
            <w:rPr>
              <w:rFonts w:ascii="Arial" w:hAnsi="Arial" w:cs="Arial"/>
              <w:sz w:val="16"/>
              <w:lang w:val="pt-BR"/>
            </w:rPr>
            <w:t>43</w:t>
          </w:r>
        </w:p>
      </w:tc>
      <w:tc>
        <w:tcPr>
          <w:tcW w:w="490" w:type="pct"/>
          <w:noWrap/>
          <w:vAlign w:val="center"/>
        </w:tcPr>
        <w:p w14:paraId="78D603D5" w14:textId="77777777" w:rsidR="0085536D" w:rsidRPr="00D27E23" w:rsidRDefault="0085536D" w:rsidP="008D1B02">
          <w:pPr>
            <w:pStyle w:val="Rodap"/>
            <w:jc w:val="center"/>
            <w:rPr>
              <w:rFonts w:ascii="Arial" w:hAnsi="Arial" w:cs="Arial"/>
              <w:sz w:val="16"/>
              <w:lang w:val="pt-BR"/>
            </w:rPr>
          </w:pPr>
          <w:r w:rsidRPr="00D27E23">
            <w:rPr>
              <w:rFonts w:ascii="Arial" w:hAnsi="Arial" w:cs="Arial"/>
              <w:sz w:val="16"/>
              <w:lang w:val="pt-BR"/>
            </w:rPr>
            <w:t xml:space="preserve">n. </w:t>
          </w:r>
          <w:r>
            <w:rPr>
              <w:rFonts w:ascii="Arial" w:hAnsi="Arial" w:cs="Arial"/>
              <w:sz w:val="16"/>
              <w:lang w:val="pt-BR"/>
            </w:rPr>
            <w:t>1</w:t>
          </w:r>
        </w:p>
      </w:tc>
      <w:tc>
        <w:tcPr>
          <w:tcW w:w="562" w:type="pct"/>
          <w:noWrap/>
          <w:vAlign w:val="center"/>
        </w:tcPr>
        <w:p w14:paraId="455E0D4C" w14:textId="46BDD057" w:rsidR="0085536D" w:rsidRPr="00D27E23" w:rsidRDefault="0085536D" w:rsidP="00DC6B69">
          <w:pPr>
            <w:pStyle w:val="Rodap"/>
            <w:jc w:val="center"/>
            <w:rPr>
              <w:rFonts w:ascii="Arial" w:hAnsi="Arial" w:cs="Arial"/>
              <w:sz w:val="16"/>
              <w:lang w:val="pt-BR"/>
            </w:rPr>
          </w:pPr>
          <w:r w:rsidRPr="00D27E23">
            <w:rPr>
              <w:rFonts w:ascii="Arial" w:hAnsi="Arial" w:cs="Arial"/>
              <w:sz w:val="16"/>
              <w:lang w:val="pt-BR"/>
            </w:rPr>
            <w:t xml:space="preserve">p. </w:t>
          </w:r>
          <w:r w:rsidR="00DC6B69">
            <w:rPr>
              <w:rFonts w:ascii="Arial" w:hAnsi="Arial" w:cs="Arial"/>
              <w:sz w:val="16"/>
              <w:lang w:val="pt-BR"/>
            </w:rPr>
            <w:t>69-89</w:t>
          </w:r>
        </w:p>
      </w:tc>
      <w:tc>
        <w:tcPr>
          <w:tcW w:w="1354" w:type="pct"/>
          <w:noWrap/>
          <w:vAlign w:val="center"/>
        </w:tcPr>
        <w:p w14:paraId="4430ED75" w14:textId="77777777" w:rsidR="0085536D" w:rsidRPr="00D27E23" w:rsidRDefault="0085536D" w:rsidP="008D1B02">
          <w:pPr>
            <w:pStyle w:val="Rodap"/>
            <w:jc w:val="center"/>
            <w:rPr>
              <w:rFonts w:ascii="Arial" w:hAnsi="Arial" w:cs="Arial"/>
              <w:sz w:val="16"/>
              <w:lang w:val="pt-BR"/>
            </w:rPr>
          </w:pPr>
          <w:r>
            <w:rPr>
              <w:rFonts w:ascii="Arial" w:hAnsi="Arial" w:cs="Arial"/>
              <w:sz w:val="16"/>
              <w:lang w:val="pt-BR"/>
            </w:rPr>
            <w:t>janeiro</w:t>
          </w:r>
          <w:r w:rsidRPr="00D27E23">
            <w:rPr>
              <w:rFonts w:ascii="Arial" w:hAnsi="Arial" w:cs="Arial"/>
              <w:sz w:val="16"/>
              <w:lang w:val="pt-BR"/>
            </w:rPr>
            <w:t xml:space="preserve"> / </w:t>
          </w:r>
          <w:r>
            <w:rPr>
              <w:rFonts w:ascii="Arial" w:hAnsi="Arial" w:cs="Arial"/>
              <w:sz w:val="16"/>
              <w:lang w:val="pt-BR"/>
            </w:rPr>
            <w:t>abril</w:t>
          </w:r>
          <w:r w:rsidRPr="00D27E23">
            <w:rPr>
              <w:rFonts w:ascii="Arial" w:hAnsi="Arial" w:cs="Arial"/>
              <w:sz w:val="16"/>
              <w:lang w:val="pt-BR"/>
            </w:rPr>
            <w:t xml:space="preserve"> 20</w:t>
          </w:r>
          <w:r>
            <w:rPr>
              <w:rFonts w:ascii="Arial" w:hAnsi="Arial" w:cs="Arial"/>
              <w:sz w:val="16"/>
              <w:lang w:val="pt-BR"/>
            </w:rPr>
            <w:t>24</w:t>
          </w:r>
        </w:p>
      </w:tc>
    </w:tr>
  </w:tbl>
  <w:p w14:paraId="74045149" w14:textId="77777777" w:rsidR="0085536D" w:rsidRPr="00883F0B" w:rsidRDefault="0085536D" w:rsidP="00883F0B">
    <w:pPr>
      <w:pStyle w:val="Rodap"/>
      <w:rPr>
        <w:rFonts w:ascii="Arial" w:hAnsi="Arial" w:cs="Arial"/>
        <w:sz w:val="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138" w:type="dxa"/>
      <w:tblInd w:w="10" w:type="dxa"/>
      <w:tblBorders>
        <w:top w:val="single" w:sz="12" w:space="0" w:color="0000CC"/>
        <w:left w:val="single" w:sz="12" w:space="0" w:color="0000CC"/>
        <w:bottom w:val="single" w:sz="12" w:space="0" w:color="0000CC"/>
        <w:right w:val="single" w:sz="12" w:space="0" w:color="0000CC"/>
        <w:insideH w:val="single" w:sz="12" w:space="0" w:color="0000CC"/>
        <w:insideV w:val="single" w:sz="12" w:space="0" w:color="0000CC"/>
      </w:tblBorders>
      <w:tblCellMar>
        <w:left w:w="0" w:type="dxa"/>
        <w:right w:w="0" w:type="dxa"/>
      </w:tblCellMar>
      <w:tblLook w:val="04A0" w:firstRow="1" w:lastRow="0" w:firstColumn="1" w:lastColumn="0" w:noHBand="0" w:noVBand="1"/>
    </w:tblPr>
    <w:tblGrid>
      <w:gridCol w:w="1810"/>
      <w:gridCol w:w="1619"/>
      <w:gridCol w:w="807"/>
      <w:gridCol w:w="801"/>
      <w:gridCol w:w="918"/>
      <w:gridCol w:w="2183"/>
    </w:tblGrid>
    <w:tr w:rsidR="0085536D" w:rsidRPr="003A56CE" w14:paraId="2EE5D4FE" w14:textId="77777777" w:rsidTr="00A33AF3">
      <w:trPr>
        <w:trHeight w:hRule="exact" w:val="284"/>
      </w:trPr>
      <w:tc>
        <w:tcPr>
          <w:tcW w:w="1112" w:type="pct"/>
          <w:noWrap/>
          <w:vAlign w:val="center"/>
        </w:tcPr>
        <w:p w14:paraId="18DD76F2" w14:textId="77777777" w:rsidR="0085536D" w:rsidRPr="00D27E23" w:rsidRDefault="0085536D" w:rsidP="007A0C02">
          <w:pPr>
            <w:pStyle w:val="Rodap"/>
            <w:jc w:val="center"/>
            <w:rPr>
              <w:rFonts w:ascii="Arial" w:hAnsi="Arial" w:cs="Arial"/>
              <w:sz w:val="16"/>
              <w:lang w:val="pt-BR"/>
            </w:rPr>
          </w:pPr>
          <w:r w:rsidRPr="00D27E23">
            <w:rPr>
              <w:rFonts w:ascii="Arial" w:hAnsi="Arial" w:cs="Arial"/>
              <w:sz w:val="16"/>
              <w:lang w:val="pt-BR"/>
            </w:rPr>
            <w:t>Enf.: Ref. Cont.</w:t>
          </w:r>
        </w:p>
      </w:tc>
      <w:tc>
        <w:tcPr>
          <w:tcW w:w="995" w:type="pct"/>
          <w:noWrap/>
          <w:vAlign w:val="center"/>
        </w:tcPr>
        <w:p w14:paraId="0328D312" w14:textId="77777777" w:rsidR="0085536D" w:rsidRPr="00D27E23" w:rsidRDefault="0085536D" w:rsidP="007A0C02">
          <w:pPr>
            <w:pStyle w:val="Rodap"/>
            <w:jc w:val="center"/>
            <w:rPr>
              <w:rFonts w:ascii="Arial" w:hAnsi="Arial" w:cs="Arial"/>
              <w:sz w:val="16"/>
              <w:lang w:val="pt-BR"/>
            </w:rPr>
          </w:pPr>
          <w:r w:rsidRPr="00D27E23">
            <w:rPr>
              <w:rFonts w:ascii="Arial" w:hAnsi="Arial" w:cs="Arial"/>
              <w:sz w:val="16"/>
              <w:lang w:val="pt-BR"/>
            </w:rPr>
            <w:t>UEM - Paraná</w:t>
          </w:r>
        </w:p>
      </w:tc>
      <w:tc>
        <w:tcPr>
          <w:tcW w:w="496" w:type="pct"/>
          <w:noWrap/>
          <w:vAlign w:val="center"/>
        </w:tcPr>
        <w:p w14:paraId="50361302" w14:textId="77777777" w:rsidR="0085536D" w:rsidRPr="00D27E23" w:rsidRDefault="0085536D" w:rsidP="007A0C02">
          <w:pPr>
            <w:pStyle w:val="Rodap"/>
            <w:jc w:val="center"/>
            <w:rPr>
              <w:rFonts w:ascii="Arial" w:hAnsi="Arial" w:cs="Arial"/>
              <w:sz w:val="16"/>
              <w:lang w:val="pt-BR"/>
            </w:rPr>
          </w:pPr>
          <w:r w:rsidRPr="00D27E23">
            <w:rPr>
              <w:rFonts w:ascii="Arial" w:hAnsi="Arial" w:cs="Arial"/>
              <w:sz w:val="16"/>
              <w:lang w:val="pt-BR"/>
            </w:rPr>
            <w:t xml:space="preserve">v. </w:t>
          </w:r>
          <w:r>
            <w:rPr>
              <w:rFonts w:ascii="Arial" w:hAnsi="Arial" w:cs="Arial"/>
              <w:sz w:val="16"/>
              <w:lang w:val="pt-BR"/>
            </w:rPr>
            <w:t>43</w:t>
          </w:r>
        </w:p>
      </w:tc>
      <w:tc>
        <w:tcPr>
          <w:tcW w:w="492" w:type="pct"/>
          <w:noWrap/>
          <w:vAlign w:val="center"/>
        </w:tcPr>
        <w:p w14:paraId="458419C8" w14:textId="77777777" w:rsidR="0085536D" w:rsidRPr="00D27E23" w:rsidRDefault="0085536D" w:rsidP="007A0C02">
          <w:pPr>
            <w:pStyle w:val="Rodap"/>
            <w:jc w:val="center"/>
            <w:rPr>
              <w:rFonts w:ascii="Arial" w:hAnsi="Arial" w:cs="Arial"/>
              <w:sz w:val="16"/>
              <w:lang w:val="pt-BR"/>
            </w:rPr>
          </w:pPr>
          <w:r w:rsidRPr="00D27E23">
            <w:rPr>
              <w:rFonts w:ascii="Arial" w:hAnsi="Arial" w:cs="Arial"/>
              <w:sz w:val="16"/>
              <w:lang w:val="pt-BR"/>
            </w:rPr>
            <w:t xml:space="preserve">n. </w:t>
          </w:r>
          <w:r>
            <w:rPr>
              <w:rFonts w:ascii="Arial" w:hAnsi="Arial" w:cs="Arial"/>
              <w:sz w:val="16"/>
              <w:lang w:val="pt-BR"/>
            </w:rPr>
            <w:t>1</w:t>
          </w:r>
        </w:p>
      </w:tc>
      <w:tc>
        <w:tcPr>
          <w:tcW w:w="564" w:type="pct"/>
          <w:noWrap/>
          <w:vAlign w:val="center"/>
        </w:tcPr>
        <w:p w14:paraId="77DDE744" w14:textId="3E4C18F6" w:rsidR="0085536D" w:rsidRPr="00D27E23" w:rsidRDefault="0085536D" w:rsidP="00DC6B69">
          <w:pPr>
            <w:pStyle w:val="Rodap"/>
            <w:jc w:val="center"/>
            <w:rPr>
              <w:rFonts w:ascii="Arial" w:hAnsi="Arial" w:cs="Arial"/>
              <w:sz w:val="16"/>
              <w:lang w:val="pt-BR"/>
            </w:rPr>
          </w:pPr>
          <w:r w:rsidRPr="00D27E23">
            <w:rPr>
              <w:rFonts w:ascii="Arial" w:hAnsi="Arial" w:cs="Arial"/>
              <w:sz w:val="16"/>
              <w:lang w:val="pt-BR"/>
            </w:rPr>
            <w:t xml:space="preserve">p. </w:t>
          </w:r>
          <w:r w:rsidR="00DC6B69">
            <w:rPr>
              <w:rFonts w:ascii="Arial" w:hAnsi="Arial" w:cs="Arial"/>
              <w:sz w:val="16"/>
              <w:lang w:val="pt-BR"/>
            </w:rPr>
            <w:t>69-89</w:t>
          </w:r>
        </w:p>
      </w:tc>
      <w:tc>
        <w:tcPr>
          <w:tcW w:w="1341" w:type="pct"/>
          <w:noWrap/>
          <w:vAlign w:val="center"/>
        </w:tcPr>
        <w:p w14:paraId="16FE2533" w14:textId="77777777" w:rsidR="0085536D" w:rsidRPr="002D2924" w:rsidRDefault="0085536D" w:rsidP="008D1B02">
          <w:pPr>
            <w:pStyle w:val="Rodap"/>
            <w:jc w:val="center"/>
            <w:rPr>
              <w:rFonts w:ascii="Arial" w:hAnsi="Arial" w:cs="Arial"/>
              <w:sz w:val="16"/>
              <w:lang w:val="pt-BR"/>
            </w:rPr>
          </w:pPr>
          <w:r>
            <w:rPr>
              <w:rFonts w:ascii="Arial" w:hAnsi="Arial" w:cs="Arial"/>
              <w:sz w:val="16"/>
              <w:lang w:val="pt-BR"/>
            </w:rPr>
            <w:t>janeiro</w:t>
          </w:r>
          <w:r w:rsidRPr="00D27E23">
            <w:rPr>
              <w:rFonts w:ascii="Arial" w:hAnsi="Arial" w:cs="Arial"/>
              <w:sz w:val="16"/>
              <w:lang w:val="pt-BR"/>
            </w:rPr>
            <w:t xml:space="preserve"> / </w:t>
          </w:r>
          <w:r>
            <w:rPr>
              <w:rFonts w:ascii="Arial" w:hAnsi="Arial" w:cs="Arial"/>
              <w:sz w:val="16"/>
              <w:lang w:val="pt-BR"/>
            </w:rPr>
            <w:t>abril</w:t>
          </w:r>
          <w:r w:rsidRPr="00D27E23">
            <w:rPr>
              <w:rFonts w:ascii="Arial" w:hAnsi="Arial" w:cs="Arial"/>
              <w:sz w:val="16"/>
              <w:lang w:val="pt-BR"/>
            </w:rPr>
            <w:t xml:space="preserve"> 20</w:t>
          </w:r>
          <w:r>
            <w:rPr>
              <w:rFonts w:ascii="Arial" w:hAnsi="Arial" w:cs="Arial"/>
              <w:sz w:val="16"/>
              <w:lang w:val="pt-BR"/>
            </w:rPr>
            <w:t>24</w:t>
          </w:r>
        </w:p>
      </w:tc>
    </w:tr>
  </w:tbl>
  <w:p w14:paraId="4228E858" w14:textId="77777777" w:rsidR="0085536D" w:rsidRPr="00883F0B" w:rsidRDefault="0085536D" w:rsidP="00883F0B">
    <w:pPr>
      <w:pStyle w:val="Rodap"/>
      <w:rPr>
        <w:rFonts w:ascii="Arial" w:hAnsi="Arial"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6337C" w14:textId="77777777" w:rsidR="00943D71" w:rsidRDefault="00943D71">
      <w:r>
        <w:separator/>
      </w:r>
    </w:p>
  </w:footnote>
  <w:footnote w:type="continuationSeparator" w:id="0">
    <w:p w14:paraId="64334D5D" w14:textId="77777777" w:rsidR="00943D71" w:rsidRDefault="00943D71">
      <w:r>
        <w:continuationSeparator/>
      </w:r>
    </w:p>
  </w:footnote>
  <w:footnote w:id="1">
    <w:p w14:paraId="3AF36A8E" w14:textId="77777777" w:rsidR="0085536D" w:rsidRPr="00343196" w:rsidRDefault="0085536D" w:rsidP="00343196">
      <w:pPr>
        <w:spacing w:before="40" w:line="240" w:lineRule="auto"/>
        <w:rPr>
          <w:rFonts w:ascii="Arial" w:hAnsi="Arial" w:cs="Arial"/>
          <w:sz w:val="12"/>
          <w:szCs w:val="12"/>
        </w:rPr>
      </w:pPr>
      <w:r w:rsidRPr="00343196">
        <w:rPr>
          <w:rStyle w:val="Refdenotaderodap"/>
          <w:rFonts w:ascii="Arial" w:hAnsi="Arial" w:cs="Arial"/>
          <w:sz w:val="12"/>
          <w:szCs w:val="12"/>
        </w:rPr>
        <w:footnoteRef/>
      </w:r>
      <w:r w:rsidRPr="00343196">
        <w:rPr>
          <w:rFonts w:ascii="Arial" w:hAnsi="Arial" w:cs="Arial"/>
          <w:sz w:val="12"/>
          <w:szCs w:val="12"/>
        </w:rPr>
        <w:t xml:space="preserve"> </w:t>
      </w:r>
      <w:r w:rsidRPr="00343196">
        <w:rPr>
          <w:rFonts w:ascii="Arial" w:hAnsi="Arial" w:cs="Arial"/>
          <w:sz w:val="12"/>
          <w:szCs w:val="12"/>
          <w:shd w:val="clear" w:color="auto" w:fill="FFFFFF"/>
        </w:rPr>
        <w:t>Artigo apresentado no XV Congresso AnpCont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C0073" w14:textId="77777777" w:rsidR="0085536D" w:rsidRPr="00E121CD" w:rsidRDefault="0085536D" w:rsidP="00246A7F">
    <w:pPr>
      <w:pStyle w:val="acabecalho"/>
      <w:keepLines/>
      <w:pBdr>
        <w:bottom w:val="single" w:sz="12" w:space="1" w:color="0000CC"/>
      </w:pBdr>
      <w:tabs>
        <w:tab w:val="left" w:pos="240"/>
      </w:tabs>
      <w:rPr>
        <w:rFonts w:ascii="Arial" w:hAnsi="Arial" w:cs="Arial"/>
        <w:b w:val="0"/>
        <w:spacing w:val="-4"/>
        <w:sz w:val="6"/>
      </w:rPr>
    </w:pPr>
    <w:r w:rsidRPr="00246A7F">
      <w:rPr>
        <w:rStyle w:val="Nmerodepgina"/>
        <w:rFonts w:ascii="Arial" w:hAnsi="Arial" w:cs="Arial"/>
        <w:b w:val="0"/>
        <w:color w:val="FFFFFF" w:themeColor="background1"/>
        <w:sz w:val="18"/>
        <w:highlight w:val="blue"/>
      </w:rPr>
      <w:fldChar w:fldCharType="begin"/>
    </w:r>
    <w:r w:rsidRPr="00246A7F">
      <w:rPr>
        <w:rStyle w:val="Nmerodepgina"/>
        <w:rFonts w:ascii="Arial" w:hAnsi="Arial" w:cs="Arial"/>
        <w:b w:val="0"/>
        <w:color w:val="FFFFFF" w:themeColor="background1"/>
        <w:sz w:val="18"/>
        <w:highlight w:val="blue"/>
      </w:rPr>
      <w:instrText xml:space="preserve"> PAGE </w:instrText>
    </w:r>
    <w:r w:rsidRPr="00246A7F">
      <w:rPr>
        <w:rStyle w:val="Nmerodepgina"/>
        <w:rFonts w:ascii="Arial" w:hAnsi="Arial" w:cs="Arial"/>
        <w:b w:val="0"/>
        <w:color w:val="FFFFFF" w:themeColor="background1"/>
        <w:sz w:val="18"/>
        <w:highlight w:val="blue"/>
      </w:rPr>
      <w:fldChar w:fldCharType="separate"/>
    </w:r>
    <w:r w:rsidR="00B50238">
      <w:rPr>
        <w:rStyle w:val="Nmerodepgina"/>
        <w:rFonts w:ascii="Arial" w:hAnsi="Arial" w:cs="Arial"/>
        <w:b w:val="0"/>
        <w:noProof/>
        <w:color w:val="FFFFFF" w:themeColor="background1"/>
        <w:sz w:val="18"/>
        <w:highlight w:val="blue"/>
      </w:rPr>
      <w:t>88</w:t>
    </w:r>
    <w:r w:rsidRPr="00246A7F">
      <w:rPr>
        <w:rStyle w:val="Nmerodepgina"/>
        <w:rFonts w:ascii="Arial" w:hAnsi="Arial" w:cs="Arial"/>
        <w:b w:val="0"/>
        <w:color w:val="FFFFFF" w:themeColor="background1"/>
        <w:sz w:val="18"/>
        <w:highlight w:val="blue"/>
      </w:rPr>
      <w:fldChar w:fldCharType="end"/>
    </w:r>
    <w:r w:rsidRPr="002057F3">
      <w:rPr>
        <w:rStyle w:val="Nmerodepgina"/>
        <w:sz w:val="18"/>
      </w:rPr>
      <w:t xml:space="preserve"> </w:t>
    </w:r>
    <w:r w:rsidRPr="00EC2100">
      <w:rPr>
        <w:rFonts w:ascii="Arial" w:hAnsi="Arial" w:cs="Arial"/>
        <w:b w:val="0"/>
        <w:spacing w:val="-4"/>
        <w:sz w:val="12"/>
      </w:rPr>
      <w:t xml:space="preserve"> </w:t>
    </w:r>
    <w:r>
      <w:rPr>
        <w:rFonts w:ascii="Arial" w:hAnsi="Arial" w:cs="Arial"/>
        <w:b w:val="0"/>
        <w:spacing w:val="-4"/>
        <w:sz w:val="12"/>
      </w:rPr>
      <w:t xml:space="preserve">ISAC DE FREITAS BRANDÃO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FEF7" w14:textId="77777777" w:rsidR="0085536D" w:rsidRPr="00745A72" w:rsidRDefault="0085536D" w:rsidP="00416D0B">
    <w:pPr>
      <w:pStyle w:val="Cabealho"/>
      <w:pBdr>
        <w:bottom w:val="single" w:sz="12" w:space="1" w:color="0000CC"/>
      </w:pBdr>
      <w:spacing w:line="240" w:lineRule="auto"/>
      <w:jc w:val="right"/>
      <w:rPr>
        <w:color w:val="FFFFFF" w:themeColor="background1"/>
      </w:rPr>
    </w:pPr>
    <w:r>
      <w:rPr>
        <w:rFonts w:ascii="Arial" w:hAnsi="Arial" w:cs="Arial"/>
        <w:b/>
        <w:bCs/>
        <w:sz w:val="12"/>
        <w:szCs w:val="12"/>
      </w:rPr>
      <w:t xml:space="preserve">MONITORAMENTOOU EXPROPRIÇÃO? AS RELAÇÕES ENTRE CONTROLE ACIONÁRIO, CONSELHO DE ADMINISTRAÇÃO.... </w:t>
    </w:r>
    <w:r w:rsidRPr="00745A72">
      <w:rPr>
        <w:rStyle w:val="Nmerodepgina"/>
        <w:rFonts w:ascii="Arial" w:hAnsi="Arial" w:cs="Arial"/>
        <w:color w:val="FFFFFF" w:themeColor="background1"/>
        <w:sz w:val="18"/>
        <w:highlight w:val="blue"/>
      </w:rPr>
      <w:fldChar w:fldCharType="begin"/>
    </w:r>
    <w:r w:rsidRPr="00745A72">
      <w:rPr>
        <w:rStyle w:val="Nmerodepgina"/>
        <w:rFonts w:ascii="Arial" w:hAnsi="Arial" w:cs="Arial"/>
        <w:color w:val="FFFFFF" w:themeColor="background1"/>
        <w:sz w:val="18"/>
        <w:highlight w:val="blue"/>
      </w:rPr>
      <w:instrText xml:space="preserve"> PAGE </w:instrText>
    </w:r>
    <w:r w:rsidRPr="00745A72">
      <w:rPr>
        <w:rStyle w:val="Nmerodepgina"/>
        <w:rFonts w:ascii="Arial" w:hAnsi="Arial" w:cs="Arial"/>
        <w:color w:val="FFFFFF" w:themeColor="background1"/>
        <w:sz w:val="18"/>
        <w:highlight w:val="blue"/>
      </w:rPr>
      <w:fldChar w:fldCharType="separate"/>
    </w:r>
    <w:r w:rsidR="00B50238">
      <w:rPr>
        <w:rStyle w:val="Nmerodepgina"/>
        <w:rFonts w:ascii="Arial" w:hAnsi="Arial" w:cs="Arial"/>
        <w:noProof/>
        <w:color w:val="FFFFFF" w:themeColor="background1"/>
        <w:sz w:val="18"/>
        <w:highlight w:val="blue"/>
      </w:rPr>
      <w:t>89</w:t>
    </w:r>
    <w:r w:rsidRPr="00745A72">
      <w:rPr>
        <w:rStyle w:val="Nmerodepgina"/>
        <w:rFonts w:ascii="Arial" w:hAnsi="Arial" w:cs="Arial"/>
        <w:color w:val="FFFFFF" w:themeColor="background1"/>
        <w:sz w:val="18"/>
        <w:highlight w:val="blu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0D34E" w14:textId="77777777" w:rsidR="0085536D" w:rsidRPr="00EA1D7E" w:rsidRDefault="0085536D" w:rsidP="0000587F">
    <w:pPr>
      <w:pBdr>
        <w:bottom w:val="single" w:sz="12" w:space="1" w:color="0000CC"/>
      </w:pBdr>
      <w:tabs>
        <w:tab w:val="left" w:pos="1428"/>
        <w:tab w:val="left" w:pos="6467"/>
      </w:tabs>
      <w:spacing w:line="240" w:lineRule="auto"/>
      <w:jc w:val="left"/>
      <w:rPr>
        <w:rFonts w:ascii="Arial Narrow" w:hAnsi="Arial Narrow" w:cs="Arial"/>
        <w:color w:val="000066"/>
        <w:sz w:val="18"/>
        <w:szCs w:val="16"/>
      </w:rPr>
    </w:pPr>
    <w:r w:rsidRPr="0000587F">
      <w:rPr>
        <w:rFonts w:ascii="Arial Narrow" w:hAnsi="Arial Narrow" w:cs="Arial"/>
        <w:b/>
        <w:color w:val="0000CC"/>
        <w:sz w:val="22"/>
        <w:szCs w:val="16"/>
      </w:rPr>
      <w:t>Revista Enfoque: Reflexão Contábil</w:t>
    </w:r>
    <w:r w:rsidRPr="00EA1D7E">
      <w:rPr>
        <w:rFonts w:ascii="Arial Narrow" w:hAnsi="Arial Narrow"/>
        <w:noProof/>
        <w:color w:val="000066"/>
        <w:sz w:val="22"/>
      </w:rPr>
      <w:t xml:space="preserve">                                                                    </w:t>
    </w:r>
    <w:r w:rsidRPr="0000587F">
      <w:rPr>
        <w:rFonts w:ascii="Arial Narrow" w:hAnsi="Arial Narrow" w:cs="Arial"/>
        <w:color w:val="0000CC"/>
        <w:sz w:val="18"/>
        <w:szCs w:val="16"/>
      </w:rPr>
      <w:t>ISSN 1984-882X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2E21EC4"/>
    <w:lvl w:ilvl="0">
      <w:start w:val="1"/>
      <w:numFmt w:val="bullet"/>
      <w:pStyle w:val="Commarcadores3"/>
      <w:lvlText w:val=""/>
      <w:lvlJc w:val="left"/>
      <w:pPr>
        <w:tabs>
          <w:tab w:val="num" w:pos="926"/>
        </w:tabs>
        <w:ind w:left="926"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 %1 "/>
      <w:lvlJc w:val="left"/>
      <w:pPr>
        <w:tabs>
          <w:tab w:val="num" w:pos="0"/>
        </w:tabs>
      </w:pPr>
    </w:lvl>
  </w:abstractNum>
  <w:abstractNum w:abstractNumId="2" w15:restartNumberingAfterBreak="0">
    <w:nsid w:val="00000002"/>
    <w:multiLevelType w:val="singleLevel"/>
    <w:tmpl w:val="00000002"/>
    <w:name w:val="WW8Num3"/>
    <w:lvl w:ilvl="0">
      <w:start w:val="1"/>
      <w:numFmt w:val="bullet"/>
      <w:lvlText w:val=""/>
      <w:lvlJc w:val="left"/>
      <w:pPr>
        <w:tabs>
          <w:tab w:val="num" w:pos="720"/>
        </w:tabs>
      </w:pPr>
      <w:rPr>
        <w:rFonts w:ascii="Symbol" w:hAnsi="Symbol"/>
      </w:rPr>
    </w:lvl>
  </w:abstractNum>
  <w:abstractNum w:abstractNumId="3" w15:restartNumberingAfterBreak="0">
    <w:nsid w:val="00000003"/>
    <w:multiLevelType w:val="multilevel"/>
    <w:tmpl w:val="00000003"/>
    <w:name w:val="WW8Num4"/>
    <w:lvl w:ilvl="0">
      <w:start w:val="1"/>
      <w:numFmt w:val="decimal"/>
      <w:lvlText w:val="%1."/>
      <w:lvlJc w:val="left"/>
      <w:pPr>
        <w:tabs>
          <w:tab w:val="num" w:pos="397"/>
        </w:tabs>
      </w:pPr>
    </w:lvl>
    <w:lvl w:ilvl="1">
      <w:start w:val="1"/>
      <w:numFmt w:val="decimal"/>
      <w:lvlText w:val="%1.%2."/>
      <w:lvlJc w:val="left"/>
      <w:pPr>
        <w:tabs>
          <w:tab w:val="num" w:pos="851"/>
        </w:tabs>
      </w:pPr>
    </w:lvl>
    <w:lvl w:ilvl="2">
      <w:start w:val="1"/>
      <w:numFmt w:val="decimal"/>
      <w:lvlText w:val="%1.%2.%3."/>
      <w:lvlJc w:val="left"/>
      <w:pPr>
        <w:tabs>
          <w:tab w:val="num" w:pos="1224"/>
        </w:tabs>
      </w:pPr>
    </w:lvl>
    <w:lvl w:ilvl="3">
      <w:start w:val="1"/>
      <w:numFmt w:val="decimal"/>
      <w:lvlText w:val="%1.%2.%3.%4."/>
      <w:lvlJc w:val="left"/>
      <w:pPr>
        <w:tabs>
          <w:tab w:val="num" w:pos="1728"/>
        </w:tabs>
      </w:pPr>
    </w:lvl>
    <w:lvl w:ilvl="4">
      <w:start w:val="1"/>
      <w:numFmt w:val="decimal"/>
      <w:lvlText w:val="%1.%2.%3.%4.%5."/>
      <w:lvlJc w:val="left"/>
      <w:pPr>
        <w:tabs>
          <w:tab w:val="num" w:pos="2232"/>
        </w:tabs>
      </w:pPr>
    </w:lvl>
    <w:lvl w:ilvl="5">
      <w:start w:val="1"/>
      <w:numFmt w:val="decimal"/>
      <w:lvlText w:val="%1.%2.%3.%4.%5.%6."/>
      <w:lvlJc w:val="left"/>
      <w:pPr>
        <w:tabs>
          <w:tab w:val="num" w:pos="2736"/>
        </w:tabs>
      </w:pPr>
    </w:lvl>
    <w:lvl w:ilvl="6">
      <w:start w:val="1"/>
      <w:numFmt w:val="decimal"/>
      <w:lvlText w:val="%1.%2.%3.%4.%5.%6.%7."/>
      <w:lvlJc w:val="left"/>
      <w:pPr>
        <w:tabs>
          <w:tab w:val="num" w:pos="3240"/>
        </w:tabs>
      </w:pPr>
    </w:lvl>
    <w:lvl w:ilvl="7">
      <w:start w:val="1"/>
      <w:numFmt w:val="decimal"/>
      <w:lvlText w:val="%1.%2.%3.%4.%5.%6.%7.%8."/>
      <w:lvlJc w:val="left"/>
      <w:pPr>
        <w:tabs>
          <w:tab w:val="num" w:pos="3744"/>
        </w:tabs>
      </w:pPr>
    </w:lvl>
    <w:lvl w:ilvl="8">
      <w:start w:val="1"/>
      <w:numFmt w:val="decimal"/>
      <w:lvlText w:val="%1.%2.%3.%4.%5.%6.%7.%8.%9."/>
      <w:lvlJc w:val="left"/>
      <w:pPr>
        <w:tabs>
          <w:tab w:val="num" w:pos="4320"/>
        </w:tabs>
      </w:pPr>
    </w:lvl>
  </w:abstractNum>
  <w:abstractNum w:abstractNumId="4" w15:restartNumberingAfterBreak="0">
    <w:nsid w:val="17EB44C6"/>
    <w:multiLevelType w:val="singleLevel"/>
    <w:tmpl w:val="90E2CB82"/>
    <w:lvl w:ilvl="0">
      <w:start w:val="1"/>
      <w:numFmt w:val="lowerLetter"/>
      <w:pStyle w:val="commarcadornumerado"/>
      <w:lvlText w:val="%1)"/>
      <w:lvlJc w:val="left"/>
      <w:pPr>
        <w:tabs>
          <w:tab w:val="num" w:pos="360"/>
        </w:tabs>
        <w:ind w:left="360" w:firstLine="349"/>
      </w:pPr>
      <w:rPr>
        <w:rFonts w:hint="default"/>
        <w:sz w:val="24"/>
        <w:szCs w:val="24"/>
      </w:rPr>
    </w:lvl>
  </w:abstractNum>
  <w:abstractNum w:abstractNumId="5" w15:restartNumberingAfterBreak="0">
    <w:nsid w:val="53C14E32"/>
    <w:multiLevelType w:val="singleLevel"/>
    <w:tmpl w:val="8968F43E"/>
    <w:lvl w:ilvl="0">
      <w:start w:val="1"/>
      <w:numFmt w:val="bullet"/>
      <w:pStyle w:val="commarcadornonumerado"/>
      <w:lvlText w:val=""/>
      <w:lvlJc w:val="left"/>
      <w:pPr>
        <w:tabs>
          <w:tab w:val="num" w:pos="360"/>
        </w:tabs>
        <w:ind w:left="360" w:hanging="360"/>
      </w:pPr>
      <w:rPr>
        <w:rFonts w:ascii="Symbol" w:hAnsi="Symbol" w:hint="default"/>
      </w:rPr>
    </w:lvl>
  </w:abstractNum>
  <w:abstractNum w:abstractNumId="6" w15:restartNumberingAfterBreak="0">
    <w:nsid w:val="6720051B"/>
    <w:multiLevelType w:val="singleLevel"/>
    <w:tmpl w:val="180A99E6"/>
    <w:lvl w:ilvl="0">
      <w:start w:val="1"/>
      <w:numFmt w:val="bullet"/>
      <w:pStyle w:val="Lista"/>
      <w:lvlText w:val=""/>
      <w:lvlJc w:val="left"/>
      <w:pPr>
        <w:tabs>
          <w:tab w:val="num" w:pos="1069"/>
        </w:tabs>
        <w:ind w:left="1049" w:hanging="340"/>
      </w:pPr>
      <w:rPr>
        <w:rFonts w:ascii="Symbol" w:hAnsi="Symbol" w:cs="Symbol" w:hint="default"/>
        <w:sz w:val="20"/>
        <w:szCs w:val="20"/>
      </w:rPr>
    </w:lvl>
  </w:abstractNum>
  <w:abstractNum w:abstractNumId="7" w15:restartNumberingAfterBreak="0">
    <w:nsid w:val="7F1B74E8"/>
    <w:multiLevelType w:val="singleLevel"/>
    <w:tmpl w:val="0BD2CE5A"/>
    <w:lvl w:ilvl="0">
      <w:start w:val="1"/>
      <w:numFmt w:val="decimal"/>
      <w:pStyle w:val="MARCADORSEQNUM"/>
      <w:lvlText w:val="%1)"/>
      <w:lvlJc w:val="left"/>
      <w:pPr>
        <w:tabs>
          <w:tab w:val="num" w:pos="360"/>
        </w:tabs>
        <w:ind w:left="360" w:hanging="360"/>
      </w:pPr>
    </w:lvl>
  </w:abstractNum>
  <w:num w:numId="1" w16cid:durableId="989752800">
    <w:abstractNumId w:val="5"/>
  </w:num>
  <w:num w:numId="2" w16cid:durableId="431052690">
    <w:abstractNumId w:val="4"/>
  </w:num>
  <w:num w:numId="3" w16cid:durableId="1386295913">
    <w:abstractNumId w:val="7"/>
  </w:num>
  <w:num w:numId="4" w16cid:durableId="219754265">
    <w:abstractNumId w:val="0"/>
  </w:num>
  <w:num w:numId="5" w16cid:durableId="605579524">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96C"/>
    <w:rsid w:val="00000903"/>
    <w:rsid w:val="000024C7"/>
    <w:rsid w:val="00003AFF"/>
    <w:rsid w:val="00003F87"/>
    <w:rsid w:val="00003F8D"/>
    <w:rsid w:val="00004B29"/>
    <w:rsid w:val="0000543A"/>
    <w:rsid w:val="0000587F"/>
    <w:rsid w:val="00006BC3"/>
    <w:rsid w:val="00007ABF"/>
    <w:rsid w:val="00007C68"/>
    <w:rsid w:val="00010114"/>
    <w:rsid w:val="00010B14"/>
    <w:rsid w:val="00010B8D"/>
    <w:rsid w:val="00011B64"/>
    <w:rsid w:val="00012F24"/>
    <w:rsid w:val="00014AEC"/>
    <w:rsid w:val="00014E2B"/>
    <w:rsid w:val="0001609C"/>
    <w:rsid w:val="00016144"/>
    <w:rsid w:val="000164FE"/>
    <w:rsid w:val="00017C52"/>
    <w:rsid w:val="00017F96"/>
    <w:rsid w:val="00020740"/>
    <w:rsid w:val="00024787"/>
    <w:rsid w:val="00025C56"/>
    <w:rsid w:val="000272BE"/>
    <w:rsid w:val="0003016E"/>
    <w:rsid w:val="00030442"/>
    <w:rsid w:val="000306B6"/>
    <w:rsid w:val="00032BDC"/>
    <w:rsid w:val="00032F1F"/>
    <w:rsid w:val="0003309E"/>
    <w:rsid w:val="00033B8D"/>
    <w:rsid w:val="000342F6"/>
    <w:rsid w:val="0003477A"/>
    <w:rsid w:val="00037372"/>
    <w:rsid w:val="00041D78"/>
    <w:rsid w:val="00041E7D"/>
    <w:rsid w:val="000425A8"/>
    <w:rsid w:val="00043B69"/>
    <w:rsid w:val="00043EE5"/>
    <w:rsid w:val="00044052"/>
    <w:rsid w:val="00044251"/>
    <w:rsid w:val="00044812"/>
    <w:rsid w:val="00044AAF"/>
    <w:rsid w:val="00046ABF"/>
    <w:rsid w:val="00046DDA"/>
    <w:rsid w:val="000476EE"/>
    <w:rsid w:val="0005049C"/>
    <w:rsid w:val="00052233"/>
    <w:rsid w:val="00052471"/>
    <w:rsid w:val="0005275E"/>
    <w:rsid w:val="000530AA"/>
    <w:rsid w:val="000531EF"/>
    <w:rsid w:val="00053CBB"/>
    <w:rsid w:val="00056294"/>
    <w:rsid w:val="00056A82"/>
    <w:rsid w:val="00056A9E"/>
    <w:rsid w:val="0005799D"/>
    <w:rsid w:val="0006100E"/>
    <w:rsid w:val="00061768"/>
    <w:rsid w:val="00062156"/>
    <w:rsid w:val="00062561"/>
    <w:rsid w:val="00062EA3"/>
    <w:rsid w:val="00063E6F"/>
    <w:rsid w:val="00065FAA"/>
    <w:rsid w:val="0006700B"/>
    <w:rsid w:val="0007059C"/>
    <w:rsid w:val="0007117E"/>
    <w:rsid w:val="0007152E"/>
    <w:rsid w:val="00071B3B"/>
    <w:rsid w:val="00072664"/>
    <w:rsid w:val="00074B27"/>
    <w:rsid w:val="00076533"/>
    <w:rsid w:val="00076948"/>
    <w:rsid w:val="00076DFF"/>
    <w:rsid w:val="00077215"/>
    <w:rsid w:val="000775A6"/>
    <w:rsid w:val="0008063A"/>
    <w:rsid w:val="00080FA2"/>
    <w:rsid w:val="000811C9"/>
    <w:rsid w:val="00081C50"/>
    <w:rsid w:val="00084EA4"/>
    <w:rsid w:val="0008504B"/>
    <w:rsid w:val="000868F6"/>
    <w:rsid w:val="00087009"/>
    <w:rsid w:val="000879E7"/>
    <w:rsid w:val="00090AA1"/>
    <w:rsid w:val="0009119C"/>
    <w:rsid w:val="00091703"/>
    <w:rsid w:val="00093BE0"/>
    <w:rsid w:val="000944FB"/>
    <w:rsid w:val="00095594"/>
    <w:rsid w:val="000957A9"/>
    <w:rsid w:val="00095A55"/>
    <w:rsid w:val="00095C85"/>
    <w:rsid w:val="000968D2"/>
    <w:rsid w:val="00097FDD"/>
    <w:rsid w:val="000A1733"/>
    <w:rsid w:val="000A2035"/>
    <w:rsid w:val="000A3B91"/>
    <w:rsid w:val="000A436E"/>
    <w:rsid w:val="000A4E77"/>
    <w:rsid w:val="000A531A"/>
    <w:rsid w:val="000A5B96"/>
    <w:rsid w:val="000A5C8A"/>
    <w:rsid w:val="000A5EED"/>
    <w:rsid w:val="000A6654"/>
    <w:rsid w:val="000A671C"/>
    <w:rsid w:val="000B1857"/>
    <w:rsid w:val="000B2903"/>
    <w:rsid w:val="000B2CA0"/>
    <w:rsid w:val="000B5883"/>
    <w:rsid w:val="000B6505"/>
    <w:rsid w:val="000B6AC6"/>
    <w:rsid w:val="000B6E06"/>
    <w:rsid w:val="000C0374"/>
    <w:rsid w:val="000C1180"/>
    <w:rsid w:val="000C1A89"/>
    <w:rsid w:val="000C49B3"/>
    <w:rsid w:val="000C5D20"/>
    <w:rsid w:val="000C6636"/>
    <w:rsid w:val="000C67DE"/>
    <w:rsid w:val="000C69A5"/>
    <w:rsid w:val="000C6BDA"/>
    <w:rsid w:val="000C7696"/>
    <w:rsid w:val="000D00D4"/>
    <w:rsid w:val="000D0202"/>
    <w:rsid w:val="000D11E8"/>
    <w:rsid w:val="000D1722"/>
    <w:rsid w:val="000D1952"/>
    <w:rsid w:val="000D3016"/>
    <w:rsid w:val="000D3043"/>
    <w:rsid w:val="000D3370"/>
    <w:rsid w:val="000D38F1"/>
    <w:rsid w:val="000D4649"/>
    <w:rsid w:val="000D6E08"/>
    <w:rsid w:val="000D6F26"/>
    <w:rsid w:val="000D702B"/>
    <w:rsid w:val="000E0B90"/>
    <w:rsid w:val="000E0ECB"/>
    <w:rsid w:val="000E2112"/>
    <w:rsid w:val="000E2229"/>
    <w:rsid w:val="000E2B6B"/>
    <w:rsid w:val="000E2E70"/>
    <w:rsid w:val="000E32AF"/>
    <w:rsid w:val="000E358A"/>
    <w:rsid w:val="000E5540"/>
    <w:rsid w:val="000E5EFB"/>
    <w:rsid w:val="000E76DD"/>
    <w:rsid w:val="000F049D"/>
    <w:rsid w:val="000F050A"/>
    <w:rsid w:val="000F08F2"/>
    <w:rsid w:val="000F4295"/>
    <w:rsid w:val="000F4669"/>
    <w:rsid w:val="000F52EA"/>
    <w:rsid w:val="000F5CC7"/>
    <w:rsid w:val="001000D2"/>
    <w:rsid w:val="001012A7"/>
    <w:rsid w:val="0010243E"/>
    <w:rsid w:val="001027A4"/>
    <w:rsid w:val="00103797"/>
    <w:rsid w:val="001047CF"/>
    <w:rsid w:val="00104B1A"/>
    <w:rsid w:val="00104E45"/>
    <w:rsid w:val="00104F36"/>
    <w:rsid w:val="0010564F"/>
    <w:rsid w:val="001058C7"/>
    <w:rsid w:val="00106835"/>
    <w:rsid w:val="00107501"/>
    <w:rsid w:val="00107CAB"/>
    <w:rsid w:val="00107F9B"/>
    <w:rsid w:val="0011109D"/>
    <w:rsid w:val="00111357"/>
    <w:rsid w:val="0011206F"/>
    <w:rsid w:val="0011439D"/>
    <w:rsid w:val="0011454D"/>
    <w:rsid w:val="00115144"/>
    <w:rsid w:val="00115A44"/>
    <w:rsid w:val="00117F68"/>
    <w:rsid w:val="001203CC"/>
    <w:rsid w:val="00121215"/>
    <w:rsid w:val="00125ECC"/>
    <w:rsid w:val="0012625D"/>
    <w:rsid w:val="001263F2"/>
    <w:rsid w:val="0012760B"/>
    <w:rsid w:val="00127872"/>
    <w:rsid w:val="00130211"/>
    <w:rsid w:val="00130393"/>
    <w:rsid w:val="00130DCF"/>
    <w:rsid w:val="0013194E"/>
    <w:rsid w:val="00131BE0"/>
    <w:rsid w:val="001328CD"/>
    <w:rsid w:val="00132DD3"/>
    <w:rsid w:val="00134184"/>
    <w:rsid w:val="00134870"/>
    <w:rsid w:val="00135FE7"/>
    <w:rsid w:val="001363A9"/>
    <w:rsid w:val="001363B8"/>
    <w:rsid w:val="00137A60"/>
    <w:rsid w:val="00137C13"/>
    <w:rsid w:val="00140B85"/>
    <w:rsid w:val="00141E92"/>
    <w:rsid w:val="00142B68"/>
    <w:rsid w:val="00143A55"/>
    <w:rsid w:val="0014431F"/>
    <w:rsid w:val="00144692"/>
    <w:rsid w:val="001455F3"/>
    <w:rsid w:val="00146559"/>
    <w:rsid w:val="00146854"/>
    <w:rsid w:val="00146917"/>
    <w:rsid w:val="00147390"/>
    <w:rsid w:val="00150903"/>
    <w:rsid w:val="001518CA"/>
    <w:rsid w:val="00152DD7"/>
    <w:rsid w:val="0015551F"/>
    <w:rsid w:val="00157177"/>
    <w:rsid w:val="00157CF2"/>
    <w:rsid w:val="001601EA"/>
    <w:rsid w:val="0016089A"/>
    <w:rsid w:val="001609D9"/>
    <w:rsid w:val="0016459D"/>
    <w:rsid w:val="001645DC"/>
    <w:rsid w:val="001675B7"/>
    <w:rsid w:val="001716A2"/>
    <w:rsid w:val="00171A55"/>
    <w:rsid w:val="00171CD4"/>
    <w:rsid w:val="00173B68"/>
    <w:rsid w:val="00173FA1"/>
    <w:rsid w:val="00174C5D"/>
    <w:rsid w:val="00175C8D"/>
    <w:rsid w:val="00176066"/>
    <w:rsid w:val="001803A8"/>
    <w:rsid w:val="00181F5D"/>
    <w:rsid w:val="001821CC"/>
    <w:rsid w:val="00183573"/>
    <w:rsid w:val="00183A57"/>
    <w:rsid w:val="00184FFA"/>
    <w:rsid w:val="00186267"/>
    <w:rsid w:val="00186791"/>
    <w:rsid w:val="00186B15"/>
    <w:rsid w:val="001903C3"/>
    <w:rsid w:val="00190ACA"/>
    <w:rsid w:val="00190ADB"/>
    <w:rsid w:val="0019132B"/>
    <w:rsid w:val="00191917"/>
    <w:rsid w:val="0019200C"/>
    <w:rsid w:val="00192333"/>
    <w:rsid w:val="001930B0"/>
    <w:rsid w:val="00193B79"/>
    <w:rsid w:val="00193FE4"/>
    <w:rsid w:val="00194FDB"/>
    <w:rsid w:val="001958EC"/>
    <w:rsid w:val="001974FC"/>
    <w:rsid w:val="001976EF"/>
    <w:rsid w:val="001A02E7"/>
    <w:rsid w:val="001A06EC"/>
    <w:rsid w:val="001A0892"/>
    <w:rsid w:val="001A0B78"/>
    <w:rsid w:val="001A371F"/>
    <w:rsid w:val="001A3750"/>
    <w:rsid w:val="001A4A7C"/>
    <w:rsid w:val="001A5343"/>
    <w:rsid w:val="001A605B"/>
    <w:rsid w:val="001A652D"/>
    <w:rsid w:val="001A6A2A"/>
    <w:rsid w:val="001A744C"/>
    <w:rsid w:val="001A76BD"/>
    <w:rsid w:val="001A7A01"/>
    <w:rsid w:val="001B05FB"/>
    <w:rsid w:val="001B0D19"/>
    <w:rsid w:val="001B1DB5"/>
    <w:rsid w:val="001B2C07"/>
    <w:rsid w:val="001B3278"/>
    <w:rsid w:val="001B3A36"/>
    <w:rsid w:val="001B4B21"/>
    <w:rsid w:val="001B5133"/>
    <w:rsid w:val="001B769B"/>
    <w:rsid w:val="001C261E"/>
    <w:rsid w:val="001C33CD"/>
    <w:rsid w:val="001C3DF6"/>
    <w:rsid w:val="001C3E53"/>
    <w:rsid w:val="001C625B"/>
    <w:rsid w:val="001C7A17"/>
    <w:rsid w:val="001D0625"/>
    <w:rsid w:val="001D15C8"/>
    <w:rsid w:val="001D1E16"/>
    <w:rsid w:val="001D21FA"/>
    <w:rsid w:val="001D2AEC"/>
    <w:rsid w:val="001D3A18"/>
    <w:rsid w:val="001D50E7"/>
    <w:rsid w:val="001D716D"/>
    <w:rsid w:val="001D7460"/>
    <w:rsid w:val="001E1977"/>
    <w:rsid w:val="001E2AFE"/>
    <w:rsid w:val="001E31DC"/>
    <w:rsid w:val="001E4794"/>
    <w:rsid w:val="001E7C85"/>
    <w:rsid w:val="001F11A8"/>
    <w:rsid w:val="001F1C77"/>
    <w:rsid w:val="001F2564"/>
    <w:rsid w:val="001F3256"/>
    <w:rsid w:val="001F3E96"/>
    <w:rsid w:val="001F45F8"/>
    <w:rsid w:val="001F5CF6"/>
    <w:rsid w:val="001F664F"/>
    <w:rsid w:val="001F6F98"/>
    <w:rsid w:val="00205025"/>
    <w:rsid w:val="002050CE"/>
    <w:rsid w:val="002057F3"/>
    <w:rsid w:val="00205CBA"/>
    <w:rsid w:val="00206C21"/>
    <w:rsid w:val="0020763F"/>
    <w:rsid w:val="00207B1C"/>
    <w:rsid w:val="00210CD2"/>
    <w:rsid w:val="0021100D"/>
    <w:rsid w:val="0021115D"/>
    <w:rsid w:val="002117FC"/>
    <w:rsid w:val="00211989"/>
    <w:rsid w:val="0021522A"/>
    <w:rsid w:val="00215DD1"/>
    <w:rsid w:val="002165FA"/>
    <w:rsid w:val="00216AE1"/>
    <w:rsid w:val="00220C0B"/>
    <w:rsid w:val="00223E73"/>
    <w:rsid w:val="0022687F"/>
    <w:rsid w:val="00226982"/>
    <w:rsid w:val="00227498"/>
    <w:rsid w:val="00227615"/>
    <w:rsid w:val="0022765A"/>
    <w:rsid w:val="00230E68"/>
    <w:rsid w:val="00231943"/>
    <w:rsid w:val="00232752"/>
    <w:rsid w:val="002330D2"/>
    <w:rsid w:val="00233516"/>
    <w:rsid w:val="0023472B"/>
    <w:rsid w:val="00234757"/>
    <w:rsid w:val="00234FF6"/>
    <w:rsid w:val="00235D7B"/>
    <w:rsid w:val="002404D0"/>
    <w:rsid w:val="002408F8"/>
    <w:rsid w:val="002425BC"/>
    <w:rsid w:val="00242685"/>
    <w:rsid w:val="002436C0"/>
    <w:rsid w:val="00243DCD"/>
    <w:rsid w:val="00244475"/>
    <w:rsid w:val="00246A7F"/>
    <w:rsid w:val="00246CC3"/>
    <w:rsid w:val="00247C2C"/>
    <w:rsid w:val="00247CA0"/>
    <w:rsid w:val="00250A85"/>
    <w:rsid w:val="0025179C"/>
    <w:rsid w:val="00254307"/>
    <w:rsid w:val="00256663"/>
    <w:rsid w:val="0025787C"/>
    <w:rsid w:val="002615CF"/>
    <w:rsid w:val="002621E0"/>
    <w:rsid w:val="002623B9"/>
    <w:rsid w:val="00262D1C"/>
    <w:rsid w:val="00265843"/>
    <w:rsid w:val="0026592F"/>
    <w:rsid w:val="0026665D"/>
    <w:rsid w:val="0026666B"/>
    <w:rsid w:val="00266D0B"/>
    <w:rsid w:val="00267388"/>
    <w:rsid w:val="00267ADC"/>
    <w:rsid w:val="00270ACA"/>
    <w:rsid w:val="002712FD"/>
    <w:rsid w:val="00272329"/>
    <w:rsid w:val="0027271E"/>
    <w:rsid w:val="00272EF3"/>
    <w:rsid w:val="0027567B"/>
    <w:rsid w:val="0027606C"/>
    <w:rsid w:val="0027623F"/>
    <w:rsid w:val="0027630E"/>
    <w:rsid w:val="00276A70"/>
    <w:rsid w:val="0027792F"/>
    <w:rsid w:val="00281117"/>
    <w:rsid w:val="0028205B"/>
    <w:rsid w:val="00283E43"/>
    <w:rsid w:val="00284E1F"/>
    <w:rsid w:val="00285A4D"/>
    <w:rsid w:val="00286BB4"/>
    <w:rsid w:val="002910CB"/>
    <w:rsid w:val="00291A05"/>
    <w:rsid w:val="00291CBB"/>
    <w:rsid w:val="00291DBF"/>
    <w:rsid w:val="00291EC6"/>
    <w:rsid w:val="00292C9F"/>
    <w:rsid w:val="00294AE3"/>
    <w:rsid w:val="00295CC0"/>
    <w:rsid w:val="00296125"/>
    <w:rsid w:val="002965D9"/>
    <w:rsid w:val="00296922"/>
    <w:rsid w:val="002979AB"/>
    <w:rsid w:val="002A0995"/>
    <w:rsid w:val="002A0A53"/>
    <w:rsid w:val="002A186A"/>
    <w:rsid w:val="002A1E73"/>
    <w:rsid w:val="002A2733"/>
    <w:rsid w:val="002A698D"/>
    <w:rsid w:val="002B04AC"/>
    <w:rsid w:val="002B0DE2"/>
    <w:rsid w:val="002B1997"/>
    <w:rsid w:val="002B1FDF"/>
    <w:rsid w:val="002B2370"/>
    <w:rsid w:val="002B2F7B"/>
    <w:rsid w:val="002B3D09"/>
    <w:rsid w:val="002B432F"/>
    <w:rsid w:val="002B4EAF"/>
    <w:rsid w:val="002B6254"/>
    <w:rsid w:val="002B6944"/>
    <w:rsid w:val="002B700E"/>
    <w:rsid w:val="002B77BF"/>
    <w:rsid w:val="002C0A31"/>
    <w:rsid w:val="002C1203"/>
    <w:rsid w:val="002C171D"/>
    <w:rsid w:val="002C1B58"/>
    <w:rsid w:val="002C1E26"/>
    <w:rsid w:val="002C24D0"/>
    <w:rsid w:val="002C2878"/>
    <w:rsid w:val="002C2DA6"/>
    <w:rsid w:val="002C2F09"/>
    <w:rsid w:val="002C3C53"/>
    <w:rsid w:val="002C3EDC"/>
    <w:rsid w:val="002C47F5"/>
    <w:rsid w:val="002C52CB"/>
    <w:rsid w:val="002C537A"/>
    <w:rsid w:val="002C5705"/>
    <w:rsid w:val="002C63CE"/>
    <w:rsid w:val="002C702C"/>
    <w:rsid w:val="002C707E"/>
    <w:rsid w:val="002D0F5E"/>
    <w:rsid w:val="002D1A9B"/>
    <w:rsid w:val="002D1E8D"/>
    <w:rsid w:val="002D238C"/>
    <w:rsid w:val="002D2924"/>
    <w:rsid w:val="002D2ABA"/>
    <w:rsid w:val="002D328E"/>
    <w:rsid w:val="002D39E0"/>
    <w:rsid w:val="002D3EC6"/>
    <w:rsid w:val="002D48EF"/>
    <w:rsid w:val="002D5CE4"/>
    <w:rsid w:val="002D5D79"/>
    <w:rsid w:val="002D65DA"/>
    <w:rsid w:val="002D6CB2"/>
    <w:rsid w:val="002D6EBB"/>
    <w:rsid w:val="002E00C3"/>
    <w:rsid w:val="002E2596"/>
    <w:rsid w:val="002E58F7"/>
    <w:rsid w:val="002E6A5E"/>
    <w:rsid w:val="002F0742"/>
    <w:rsid w:val="002F086B"/>
    <w:rsid w:val="002F096C"/>
    <w:rsid w:val="002F2E3C"/>
    <w:rsid w:val="002F39E7"/>
    <w:rsid w:val="002F46C6"/>
    <w:rsid w:val="002F668C"/>
    <w:rsid w:val="002F67C5"/>
    <w:rsid w:val="002F723E"/>
    <w:rsid w:val="002F7A7B"/>
    <w:rsid w:val="002F7E9F"/>
    <w:rsid w:val="00300A84"/>
    <w:rsid w:val="0030142C"/>
    <w:rsid w:val="00301650"/>
    <w:rsid w:val="00304D15"/>
    <w:rsid w:val="00305766"/>
    <w:rsid w:val="00306EAE"/>
    <w:rsid w:val="003103B3"/>
    <w:rsid w:val="003104A1"/>
    <w:rsid w:val="00310A8B"/>
    <w:rsid w:val="00310E41"/>
    <w:rsid w:val="003126D8"/>
    <w:rsid w:val="00313FE7"/>
    <w:rsid w:val="00314E4F"/>
    <w:rsid w:val="003153A7"/>
    <w:rsid w:val="00315C9D"/>
    <w:rsid w:val="00316DC5"/>
    <w:rsid w:val="0031729D"/>
    <w:rsid w:val="0032150B"/>
    <w:rsid w:val="0032244B"/>
    <w:rsid w:val="003235D0"/>
    <w:rsid w:val="003256E4"/>
    <w:rsid w:val="003257DB"/>
    <w:rsid w:val="0032584E"/>
    <w:rsid w:val="003260A8"/>
    <w:rsid w:val="003265AA"/>
    <w:rsid w:val="003266AE"/>
    <w:rsid w:val="00330324"/>
    <w:rsid w:val="003313EB"/>
    <w:rsid w:val="00332265"/>
    <w:rsid w:val="00332F83"/>
    <w:rsid w:val="00333F70"/>
    <w:rsid w:val="00334182"/>
    <w:rsid w:val="00335822"/>
    <w:rsid w:val="00336753"/>
    <w:rsid w:val="00336AA7"/>
    <w:rsid w:val="00336CE0"/>
    <w:rsid w:val="003374DA"/>
    <w:rsid w:val="00337712"/>
    <w:rsid w:val="00340634"/>
    <w:rsid w:val="00340A7B"/>
    <w:rsid w:val="00341814"/>
    <w:rsid w:val="00342105"/>
    <w:rsid w:val="003424E8"/>
    <w:rsid w:val="00342C0B"/>
    <w:rsid w:val="00343196"/>
    <w:rsid w:val="0034429D"/>
    <w:rsid w:val="003448C6"/>
    <w:rsid w:val="003452E5"/>
    <w:rsid w:val="0034557A"/>
    <w:rsid w:val="00346E92"/>
    <w:rsid w:val="00346F07"/>
    <w:rsid w:val="003473F2"/>
    <w:rsid w:val="00350F68"/>
    <w:rsid w:val="0035147B"/>
    <w:rsid w:val="0035296C"/>
    <w:rsid w:val="003547B9"/>
    <w:rsid w:val="00356DE1"/>
    <w:rsid w:val="00360BB8"/>
    <w:rsid w:val="003615EE"/>
    <w:rsid w:val="003617FA"/>
    <w:rsid w:val="003625CE"/>
    <w:rsid w:val="00365CAF"/>
    <w:rsid w:val="0036717C"/>
    <w:rsid w:val="00370701"/>
    <w:rsid w:val="00371AE8"/>
    <w:rsid w:val="00372711"/>
    <w:rsid w:val="00373B04"/>
    <w:rsid w:val="0037535C"/>
    <w:rsid w:val="00375FFE"/>
    <w:rsid w:val="00376568"/>
    <w:rsid w:val="0037674E"/>
    <w:rsid w:val="0037683A"/>
    <w:rsid w:val="003777D2"/>
    <w:rsid w:val="00380014"/>
    <w:rsid w:val="003815AC"/>
    <w:rsid w:val="00382645"/>
    <w:rsid w:val="00383A85"/>
    <w:rsid w:val="0038473B"/>
    <w:rsid w:val="00385050"/>
    <w:rsid w:val="00385794"/>
    <w:rsid w:val="00385969"/>
    <w:rsid w:val="00385B7F"/>
    <w:rsid w:val="003860CB"/>
    <w:rsid w:val="00386294"/>
    <w:rsid w:val="00391888"/>
    <w:rsid w:val="00392158"/>
    <w:rsid w:val="00393208"/>
    <w:rsid w:val="00394A48"/>
    <w:rsid w:val="00395AAA"/>
    <w:rsid w:val="00395AF3"/>
    <w:rsid w:val="00395DDA"/>
    <w:rsid w:val="00395FD5"/>
    <w:rsid w:val="00396622"/>
    <w:rsid w:val="00397D37"/>
    <w:rsid w:val="003A08C2"/>
    <w:rsid w:val="003A25F3"/>
    <w:rsid w:val="003A4D42"/>
    <w:rsid w:val="003A56CE"/>
    <w:rsid w:val="003A5C28"/>
    <w:rsid w:val="003A6C79"/>
    <w:rsid w:val="003A75D6"/>
    <w:rsid w:val="003A76F2"/>
    <w:rsid w:val="003B0129"/>
    <w:rsid w:val="003B0BF7"/>
    <w:rsid w:val="003B1DDB"/>
    <w:rsid w:val="003B2656"/>
    <w:rsid w:val="003B2BF6"/>
    <w:rsid w:val="003B2E87"/>
    <w:rsid w:val="003B4416"/>
    <w:rsid w:val="003B4788"/>
    <w:rsid w:val="003B5207"/>
    <w:rsid w:val="003B6935"/>
    <w:rsid w:val="003B756A"/>
    <w:rsid w:val="003B759E"/>
    <w:rsid w:val="003B7B52"/>
    <w:rsid w:val="003C0FE9"/>
    <w:rsid w:val="003C17C2"/>
    <w:rsid w:val="003C21F9"/>
    <w:rsid w:val="003C2D20"/>
    <w:rsid w:val="003C3323"/>
    <w:rsid w:val="003C3F67"/>
    <w:rsid w:val="003C48BF"/>
    <w:rsid w:val="003C48F0"/>
    <w:rsid w:val="003C4B72"/>
    <w:rsid w:val="003C4DD6"/>
    <w:rsid w:val="003C4E99"/>
    <w:rsid w:val="003C5CA8"/>
    <w:rsid w:val="003C70CE"/>
    <w:rsid w:val="003C7751"/>
    <w:rsid w:val="003C794D"/>
    <w:rsid w:val="003D0B19"/>
    <w:rsid w:val="003D17D2"/>
    <w:rsid w:val="003D1B22"/>
    <w:rsid w:val="003D23F7"/>
    <w:rsid w:val="003D3EC6"/>
    <w:rsid w:val="003D51CF"/>
    <w:rsid w:val="003D67BB"/>
    <w:rsid w:val="003D7953"/>
    <w:rsid w:val="003E0593"/>
    <w:rsid w:val="003E07F5"/>
    <w:rsid w:val="003E0D6B"/>
    <w:rsid w:val="003E2C14"/>
    <w:rsid w:val="003E7066"/>
    <w:rsid w:val="003E72F1"/>
    <w:rsid w:val="003E7897"/>
    <w:rsid w:val="003F16AD"/>
    <w:rsid w:val="003F1AA1"/>
    <w:rsid w:val="003F2134"/>
    <w:rsid w:val="003F3252"/>
    <w:rsid w:val="003F4236"/>
    <w:rsid w:val="003F62E7"/>
    <w:rsid w:val="003F65B9"/>
    <w:rsid w:val="003F78AE"/>
    <w:rsid w:val="003F7C6B"/>
    <w:rsid w:val="00400295"/>
    <w:rsid w:val="004019FC"/>
    <w:rsid w:val="00401B78"/>
    <w:rsid w:val="00401C4C"/>
    <w:rsid w:val="00403C52"/>
    <w:rsid w:val="00404EB6"/>
    <w:rsid w:val="004056A9"/>
    <w:rsid w:val="004063A4"/>
    <w:rsid w:val="004063AE"/>
    <w:rsid w:val="004064C8"/>
    <w:rsid w:val="0040740C"/>
    <w:rsid w:val="00410390"/>
    <w:rsid w:val="0041188E"/>
    <w:rsid w:val="00411AF9"/>
    <w:rsid w:val="00411DA2"/>
    <w:rsid w:val="00413883"/>
    <w:rsid w:val="0041391C"/>
    <w:rsid w:val="00413D93"/>
    <w:rsid w:val="00416D0B"/>
    <w:rsid w:val="00416F4B"/>
    <w:rsid w:val="00417275"/>
    <w:rsid w:val="00422361"/>
    <w:rsid w:val="00422EC6"/>
    <w:rsid w:val="004236E4"/>
    <w:rsid w:val="00423B0E"/>
    <w:rsid w:val="00425B9C"/>
    <w:rsid w:val="004268D1"/>
    <w:rsid w:val="0042712C"/>
    <w:rsid w:val="00427174"/>
    <w:rsid w:val="004305DE"/>
    <w:rsid w:val="00430BF2"/>
    <w:rsid w:val="00430CB0"/>
    <w:rsid w:val="00431C02"/>
    <w:rsid w:val="004320A3"/>
    <w:rsid w:val="004329AF"/>
    <w:rsid w:val="00432ADF"/>
    <w:rsid w:val="004334BB"/>
    <w:rsid w:val="00433FC9"/>
    <w:rsid w:val="00434A6D"/>
    <w:rsid w:val="00435C0C"/>
    <w:rsid w:val="0044013C"/>
    <w:rsid w:val="00441B1F"/>
    <w:rsid w:val="00443CCF"/>
    <w:rsid w:val="00445A6B"/>
    <w:rsid w:val="00446330"/>
    <w:rsid w:val="00446827"/>
    <w:rsid w:val="00446850"/>
    <w:rsid w:val="00450BE5"/>
    <w:rsid w:val="00451772"/>
    <w:rsid w:val="004532D7"/>
    <w:rsid w:val="00454308"/>
    <w:rsid w:val="00456BF3"/>
    <w:rsid w:val="004579C2"/>
    <w:rsid w:val="00457D7F"/>
    <w:rsid w:val="00457DD6"/>
    <w:rsid w:val="00461937"/>
    <w:rsid w:val="00462356"/>
    <w:rsid w:val="00462607"/>
    <w:rsid w:val="00463479"/>
    <w:rsid w:val="00464236"/>
    <w:rsid w:val="00465161"/>
    <w:rsid w:val="00465553"/>
    <w:rsid w:val="00466933"/>
    <w:rsid w:val="00467231"/>
    <w:rsid w:val="004709E6"/>
    <w:rsid w:val="00472655"/>
    <w:rsid w:val="00472F1A"/>
    <w:rsid w:val="0047395E"/>
    <w:rsid w:val="00473BDC"/>
    <w:rsid w:val="004742EC"/>
    <w:rsid w:val="004748F2"/>
    <w:rsid w:val="004753CE"/>
    <w:rsid w:val="00475E84"/>
    <w:rsid w:val="00477B34"/>
    <w:rsid w:val="00477C0C"/>
    <w:rsid w:val="004804AA"/>
    <w:rsid w:val="00481E45"/>
    <w:rsid w:val="00483932"/>
    <w:rsid w:val="00483BD6"/>
    <w:rsid w:val="00484117"/>
    <w:rsid w:val="00484510"/>
    <w:rsid w:val="00484C13"/>
    <w:rsid w:val="00485C28"/>
    <w:rsid w:val="00485F2D"/>
    <w:rsid w:val="0048601C"/>
    <w:rsid w:val="004863D1"/>
    <w:rsid w:val="0048782F"/>
    <w:rsid w:val="00487CCE"/>
    <w:rsid w:val="00487D2D"/>
    <w:rsid w:val="0049048D"/>
    <w:rsid w:val="00490E64"/>
    <w:rsid w:val="0049179D"/>
    <w:rsid w:val="00491B98"/>
    <w:rsid w:val="00492BA4"/>
    <w:rsid w:val="0049316A"/>
    <w:rsid w:val="00493173"/>
    <w:rsid w:val="00493718"/>
    <w:rsid w:val="004941A2"/>
    <w:rsid w:val="00494EC5"/>
    <w:rsid w:val="00495011"/>
    <w:rsid w:val="00496178"/>
    <w:rsid w:val="0049693D"/>
    <w:rsid w:val="004972CD"/>
    <w:rsid w:val="004A14FF"/>
    <w:rsid w:val="004A2271"/>
    <w:rsid w:val="004A2759"/>
    <w:rsid w:val="004A3352"/>
    <w:rsid w:val="004A43A4"/>
    <w:rsid w:val="004A4B73"/>
    <w:rsid w:val="004A5648"/>
    <w:rsid w:val="004A5E33"/>
    <w:rsid w:val="004A684C"/>
    <w:rsid w:val="004A7A02"/>
    <w:rsid w:val="004A7E52"/>
    <w:rsid w:val="004B0564"/>
    <w:rsid w:val="004B1E80"/>
    <w:rsid w:val="004B4221"/>
    <w:rsid w:val="004B4240"/>
    <w:rsid w:val="004B57F6"/>
    <w:rsid w:val="004B5BD7"/>
    <w:rsid w:val="004B6112"/>
    <w:rsid w:val="004B65CC"/>
    <w:rsid w:val="004B699A"/>
    <w:rsid w:val="004B6B27"/>
    <w:rsid w:val="004B7A64"/>
    <w:rsid w:val="004B7FC3"/>
    <w:rsid w:val="004C29F9"/>
    <w:rsid w:val="004C4354"/>
    <w:rsid w:val="004C456A"/>
    <w:rsid w:val="004C4FDD"/>
    <w:rsid w:val="004C7BAF"/>
    <w:rsid w:val="004C7F5D"/>
    <w:rsid w:val="004D0AF8"/>
    <w:rsid w:val="004D0D8D"/>
    <w:rsid w:val="004D2087"/>
    <w:rsid w:val="004D3535"/>
    <w:rsid w:val="004D3CD9"/>
    <w:rsid w:val="004D497D"/>
    <w:rsid w:val="004D56D2"/>
    <w:rsid w:val="004D56EF"/>
    <w:rsid w:val="004D5DEC"/>
    <w:rsid w:val="004D66AC"/>
    <w:rsid w:val="004D6F12"/>
    <w:rsid w:val="004D7391"/>
    <w:rsid w:val="004D7A15"/>
    <w:rsid w:val="004E0DFB"/>
    <w:rsid w:val="004E1FBA"/>
    <w:rsid w:val="004E2223"/>
    <w:rsid w:val="004E24C8"/>
    <w:rsid w:val="004E2FC1"/>
    <w:rsid w:val="004E6127"/>
    <w:rsid w:val="004E6661"/>
    <w:rsid w:val="004E7121"/>
    <w:rsid w:val="004E7320"/>
    <w:rsid w:val="004E751C"/>
    <w:rsid w:val="004E78DB"/>
    <w:rsid w:val="004E7A13"/>
    <w:rsid w:val="004E7DC6"/>
    <w:rsid w:val="004E7E2C"/>
    <w:rsid w:val="004F2DE4"/>
    <w:rsid w:val="004F3AF5"/>
    <w:rsid w:val="004F3F80"/>
    <w:rsid w:val="004F5388"/>
    <w:rsid w:val="004F5702"/>
    <w:rsid w:val="004F5A50"/>
    <w:rsid w:val="004F77FA"/>
    <w:rsid w:val="005008EF"/>
    <w:rsid w:val="0050131A"/>
    <w:rsid w:val="005020AD"/>
    <w:rsid w:val="00502237"/>
    <w:rsid w:val="00502D70"/>
    <w:rsid w:val="00503F2C"/>
    <w:rsid w:val="0050540E"/>
    <w:rsid w:val="005056FF"/>
    <w:rsid w:val="00505D6E"/>
    <w:rsid w:val="005068AF"/>
    <w:rsid w:val="00506BF9"/>
    <w:rsid w:val="00506C0B"/>
    <w:rsid w:val="00506F0C"/>
    <w:rsid w:val="00507F24"/>
    <w:rsid w:val="00510345"/>
    <w:rsid w:val="00510B2B"/>
    <w:rsid w:val="005110E8"/>
    <w:rsid w:val="00511442"/>
    <w:rsid w:val="00511546"/>
    <w:rsid w:val="0051255B"/>
    <w:rsid w:val="005138B8"/>
    <w:rsid w:val="00514A3E"/>
    <w:rsid w:val="00515864"/>
    <w:rsid w:val="00515E5C"/>
    <w:rsid w:val="00516268"/>
    <w:rsid w:val="00516DE8"/>
    <w:rsid w:val="00522294"/>
    <w:rsid w:val="00522395"/>
    <w:rsid w:val="0052266C"/>
    <w:rsid w:val="00522BF0"/>
    <w:rsid w:val="00522F5A"/>
    <w:rsid w:val="00523184"/>
    <w:rsid w:val="0052433C"/>
    <w:rsid w:val="005256CC"/>
    <w:rsid w:val="005261DA"/>
    <w:rsid w:val="00526692"/>
    <w:rsid w:val="00526B6C"/>
    <w:rsid w:val="00526CB2"/>
    <w:rsid w:val="00532A55"/>
    <w:rsid w:val="005333D2"/>
    <w:rsid w:val="0053372B"/>
    <w:rsid w:val="00534833"/>
    <w:rsid w:val="00536CF1"/>
    <w:rsid w:val="005371DD"/>
    <w:rsid w:val="00537EAF"/>
    <w:rsid w:val="005407EF"/>
    <w:rsid w:val="005409EE"/>
    <w:rsid w:val="0054135F"/>
    <w:rsid w:val="00541D79"/>
    <w:rsid w:val="005426B7"/>
    <w:rsid w:val="00546FE2"/>
    <w:rsid w:val="00550E48"/>
    <w:rsid w:val="00552031"/>
    <w:rsid w:val="00554BCD"/>
    <w:rsid w:val="005550C0"/>
    <w:rsid w:val="00557B92"/>
    <w:rsid w:val="00557E3C"/>
    <w:rsid w:val="005606BF"/>
    <w:rsid w:val="00560714"/>
    <w:rsid w:val="00560AA5"/>
    <w:rsid w:val="00561F5F"/>
    <w:rsid w:val="00564D11"/>
    <w:rsid w:val="0056572F"/>
    <w:rsid w:val="00566AB6"/>
    <w:rsid w:val="00570E25"/>
    <w:rsid w:val="0057248F"/>
    <w:rsid w:val="005725A5"/>
    <w:rsid w:val="005737D8"/>
    <w:rsid w:val="00574AD2"/>
    <w:rsid w:val="00575280"/>
    <w:rsid w:val="00575411"/>
    <w:rsid w:val="005755E8"/>
    <w:rsid w:val="00576042"/>
    <w:rsid w:val="00580999"/>
    <w:rsid w:val="00580ADE"/>
    <w:rsid w:val="005823DE"/>
    <w:rsid w:val="00582AF5"/>
    <w:rsid w:val="005837BA"/>
    <w:rsid w:val="00584690"/>
    <w:rsid w:val="0058502C"/>
    <w:rsid w:val="005851EF"/>
    <w:rsid w:val="00585339"/>
    <w:rsid w:val="0058547D"/>
    <w:rsid w:val="005863C9"/>
    <w:rsid w:val="00587E6F"/>
    <w:rsid w:val="00590190"/>
    <w:rsid w:val="00590885"/>
    <w:rsid w:val="00592422"/>
    <w:rsid w:val="00593AFD"/>
    <w:rsid w:val="005966BB"/>
    <w:rsid w:val="005970EC"/>
    <w:rsid w:val="005A1466"/>
    <w:rsid w:val="005A2069"/>
    <w:rsid w:val="005A238F"/>
    <w:rsid w:val="005A2697"/>
    <w:rsid w:val="005A3218"/>
    <w:rsid w:val="005A3237"/>
    <w:rsid w:val="005A3D87"/>
    <w:rsid w:val="005A6CC2"/>
    <w:rsid w:val="005B111A"/>
    <w:rsid w:val="005B1F71"/>
    <w:rsid w:val="005B4291"/>
    <w:rsid w:val="005B460B"/>
    <w:rsid w:val="005B5525"/>
    <w:rsid w:val="005B5B1B"/>
    <w:rsid w:val="005C20D7"/>
    <w:rsid w:val="005C2319"/>
    <w:rsid w:val="005C33F1"/>
    <w:rsid w:val="005C3DB4"/>
    <w:rsid w:val="005C4A70"/>
    <w:rsid w:val="005D0D41"/>
    <w:rsid w:val="005D194E"/>
    <w:rsid w:val="005D2DD6"/>
    <w:rsid w:val="005D3000"/>
    <w:rsid w:val="005D6BB1"/>
    <w:rsid w:val="005D6BBC"/>
    <w:rsid w:val="005D7B26"/>
    <w:rsid w:val="005E0420"/>
    <w:rsid w:val="005E2810"/>
    <w:rsid w:val="005E4F2E"/>
    <w:rsid w:val="005E519A"/>
    <w:rsid w:val="005E6125"/>
    <w:rsid w:val="005E6D3C"/>
    <w:rsid w:val="005E7701"/>
    <w:rsid w:val="005F02B9"/>
    <w:rsid w:val="005F189F"/>
    <w:rsid w:val="005F4221"/>
    <w:rsid w:val="005F4630"/>
    <w:rsid w:val="00600C75"/>
    <w:rsid w:val="00603145"/>
    <w:rsid w:val="00603CB6"/>
    <w:rsid w:val="00603E3E"/>
    <w:rsid w:val="00604B24"/>
    <w:rsid w:val="00605901"/>
    <w:rsid w:val="00607C32"/>
    <w:rsid w:val="00610D3C"/>
    <w:rsid w:val="0061232B"/>
    <w:rsid w:val="006130AE"/>
    <w:rsid w:val="006132D5"/>
    <w:rsid w:val="006134F1"/>
    <w:rsid w:val="006135B0"/>
    <w:rsid w:val="00615630"/>
    <w:rsid w:val="00616753"/>
    <w:rsid w:val="00617AB1"/>
    <w:rsid w:val="006200AF"/>
    <w:rsid w:val="006209C1"/>
    <w:rsid w:val="00622CB0"/>
    <w:rsid w:val="00623EA8"/>
    <w:rsid w:val="00625DBA"/>
    <w:rsid w:val="0063031E"/>
    <w:rsid w:val="006308B1"/>
    <w:rsid w:val="00630BEF"/>
    <w:rsid w:val="00631D7A"/>
    <w:rsid w:val="00631EA8"/>
    <w:rsid w:val="00632C43"/>
    <w:rsid w:val="006331FE"/>
    <w:rsid w:val="0063356D"/>
    <w:rsid w:val="006345CA"/>
    <w:rsid w:val="00635B3E"/>
    <w:rsid w:val="0063615C"/>
    <w:rsid w:val="00637295"/>
    <w:rsid w:val="00640116"/>
    <w:rsid w:val="0064086C"/>
    <w:rsid w:val="00640BF6"/>
    <w:rsid w:val="00640C69"/>
    <w:rsid w:val="00641A71"/>
    <w:rsid w:val="0064216B"/>
    <w:rsid w:val="00642CB9"/>
    <w:rsid w:val="00642F55"/>
    <w:rsid w:val="006449CB"/>
    <w:rsid w:val="0064578E"/>
    <w:rsid w:val="00645978"/>
    <w:rsid w:val="00645A70"/>
    <w:rsid w:val="006469C0"/>
    <w:rsid w:val="006473D7"/>
    <w:rsid w:val="00647888"/>
    <w:rsid w:val="00650165"/>
    <w:rsid w:val="006505FD"/>
    <w:rsid w:val="00650D75"/>
    <w:rsid w:val="0065128A"/>
    <w:rsid w:val="006518DD"/>
    <w:rsid w:val="00653FDC"/>
    <w:rsid w:val="0065463B"/>
    <w:rsid w:val="00654FCE"/>
    <w:rsid w:val="006551A8"/>
    <w:rsid w:val="006553CF"/>
    <w:rsid w:val="006560DB"/>
    <w:rsid w:val="00656DDA"/>
    <w:rsid w:val="0065713A"/>
    <w:rsid w:val="00657E0B"/>
    <w:rsid w:val="00660002"/>
    <w:rsid w:val="006607D8"/>
    <w:rsid w:val="00660C7C"/>
    <w:rsid w:val="00661A15"/>
    <w:rsid w:val="00663DDC"/>
    <w:rsid w:val="00664379"/>
    <w:rsid w:val="00664988"/>
    <w:rsid w:val="00664A03"/>
    <w:rsid w:val="0066508B"/>
    <w:rsid w:val="00665368"/>
    <w:rsid w:val="00666B46"/>
    <w:rsid w:val="00666BC6"/>
    <w:rsid w:val="0066708F"/>
    <w:rsid w:val="00667158"/>
    <w:rsid w:val="006672DB"/>
    <w:rsid w:val="006701FA"/>
    <w:rsid w:val="006709DD"/>
    <w:rsid w:val="00670FBE"/>
    <w:rsid w:val="00672892"/>
    <w:rsid w:val="00672AA4"/>
    <w:rsid w:val="00672E90"/>
    <w:rsid w:val="00673E22"/>
    <w:rsid w:val="0067490F"/>
    <w:rsid w:val="00674AA9"/>
    <w:rsid w:val="00674EAE"/>
    <w:rsid w:val="00675610"/>
    <w:rsid w:val="0067651D"/>
    <w:rsid w:val="006814B2"/>
    <w:rsid w:val="00683075"/>
    <w:rsid w:val="0068307C"/>
    <w:rsid w:val="006834BB"/>
    <w:rsid w:val="0068362E"/>
    <w:rsid w:val="006839D7"/>
    <w:rsid w:val="00684D7C"/>
    <w:rsid w:val="006855C6"/>
    <w:rsid w:val="00685DDC"/>
    <w:rsid w:val="0068630E"/>
    <w:rsid w:val="00690133"/>
    <w:rsid w:val="00695DC3"/>
    <w:rsid w:val="00696A01"/>
    <w:rsid w:val="00697E8F"/>
    <w:rsid w:val="00697F8E"/>
    <w:rsid w:val="006A0B8C"/>
    <w:rsid w:val="006A1E63"/>
    <w:rsid w:val="006A21EC"/>
    <w:rsid w:val="006A2C18"/>
    <w:rsid w:val="006A2DBB"/>
    <w:rsid w:val="006A322F"/>
    <w:rsid w:val="006A3713"/>
    <w:rsid w:val="006A5560"/>
    <w:rsid w:val="006A60A6"/>
    <w:rsid w:val="006A7924"/>
    <w:rsid w:val="006A7DD2"/>
    <w:rsid w:val="006A7F2F"/>
    <w:rsid w:val="006B2D02"/>
    <w:rsid w:val="006B3361"/>
    <w:rsid w:val="006B3892"/>
    <w:rsid w:val="006B3CFA"/>
    <w:rsid w:val="006B3D9B"/>
    <w:rsid w:val="006B4310"/>
    <w:rsid w:val="006B4A03"/>
    <w:rsid w:val="006B5321"/>
    <w:rsid w:val="006B566E"/>
    <w:rsid w:val="006B624C"/>
    <w:rsid w:val="006B6CAF"/>
    <w:rsid w:val="006B7A1F"/>
    <w:rsid w:val="006B7A7D"/>
    <w:rsid w:val="006B7A87"/>
    <w:rsid w:val="006C0671"/>
    <w:rsid w:val="006C0CC8"/>
    <w:rsid w:val="006C1F60"/>
    <w:rsid w:val="006C2545"/>
    <w:rsid w:val="006C279F"/>
    <w:rsid w:val="006C3B18"/>
    <w:rsid w:val="006C41ED"/>
    <w:rsid w:val="006C496C"/>
    <w:rsid w:val="006C4A20"/>
    <w:rsid w:val="006C5495"/>
    <w:rsid w:val="006C56C6"/>
    <w:rsid w:val="006C6A00"/>
    <w:rsid w:val="006C75A2"/>
    <w:rsid w:val="006C7A14"/>
    <w:rsid w:val="006D254E"/>
    <w:rsid w:val="006D3C11"/>
    <w:rsid w:val="006D3D97"/>
    <w:rsid w:val="006D4096"/>
    <w:rsid w:val="006D434B"/>
    <w:rsid w:val="006D5CC6"/>
    <w:rsid w:val="006D5D22"/>
    <w:rsid w:val="006D6714"/>
    <w:rsid w:val="006D6BA8"/>
    <w:rsid w:val="006D78FC"/>
    <w:rsid w:val="006E017F"/>
    <w:rsid w:val="006E075E"/>
    <w:rsid w:val="006E29DF"/>
    <w:rsid w:val="006E2D57"/>
    <w:rsid w:val="006E331A"/>
    <w:rsid w:val="006E3D3A"/>
    <w:rsid w:val="006E4E34"/>
    <w:rsid w:val="006E57DC"/>
    <w:rsid w:val="006E57F9"/>
    <w:rsid w:val="006E6C19"/>
    <w:rsid w:val="006E6F3D"/>
    <w:rsid w:val="006F06E0"/>
    <w:rsid w:val="006F1DEE"/>
    <w:rsid w:val="006F1FA2"/>
    <w:rsid w:val="006F2CE6"/>
    <w:rsid w:val="006F3807"/>
    <w:rsid w:val="006F3A9A"/>
    <w:rsid w:val="006F4FCD"/>
    <w:rsid w:val="006F5785"/>
    <w:rsid w:val="006F601D"/>
    <w:rsid w:val="006F7F89"/>
    <w:rsid w:val="00700734"/>
    <w:rsid w:val="00701636"/>
    <w:rsid w:val="00702045"/>
    <w:rsid w:val="00702137"/>
    <w:rsid w:val="0070371C"/>
    <w:rsid w:val="00703810"/>
    <w:rsid w:val="007044C5"/>
    <w:rsid w:val="0070501F"/>
    <w:rsid w:val="00705BD7"/>
    <w:rsid w:val="00706014"/>
    <w:rsid w:val="0070640B"/>
    <w:rsid w:val="007067D5"/>
    <w:rsid w:val="007077C0"/>
    <w:rsid w:val="00711954"/>
    <w:rsid w:val="00711F10"/>
    <w:rsid w:val="007123DD"/>
    <w:rsid w:val="0071567F"/>
    <w:rsid w:val="00715CA0"/>
    <w:rsid w:val="00716879"/>
    <w:rsid w:val="00716BF0"/>
    <w:rsid w:val="00717506"/>
    <w:rsid w:val="0071795C"/>
    <w:rsid w:val="007201AE"/>
    <w:rsid w:val="0072022F"/>
    <w:rsid w:val="00720CC4"/>
    <w:rsid w:val="00722B35"/>
    <w:rsid w:val="007234BF"/>
    <w:rsid w:val="00723E1F"/>
    <w:rsid w:val="00725637"/>
    <w:rsid w:val="00725E36"/>
    <w:rsid w:val="0072613C"/>
    <w:rsid w:val="0072674D"/>
    <w:rsid w:val="0072692F"/>
    <w:rsid w:val="00726B75"/>
    <w:rsid w:val="007300F7"/>
    <w:rsid w:val="00730C92"/>
    <w:rsid w:val="0073237E"/>
    <w:rsid w:val="007333A4"/>
    <w:rsid w:val="007336FA"/>
    <w:rsid w:val="00734E14"/>
    <w:rsid w:val="00734F52"/>
    <w:rsid w:val="007352C3"/>
    <w:rsid w:val="007352CD"/>
    <w:rsid w:val="00736ABB"/>
    <w:rsid w:val="00736C3F"/>
    <w:rsid w:val="00737DE4"/>
    <w:rsid w:val="007425A6"/>
    <w:rsid w:val="007425EB"/>
    <w:rsid w:val="00743BBE"/>
    <w:rsid w:val="00743D4A"/>
    <w:rsid w:val="00743D5C"/>
    <w:rsid w:val="007454D5"/>
    <w:rsid w:val="00745A72"/>
    <w:rsid w:val="007467D4"/>
    <w:rsid w:val="00747D9E"/>
    <w:rsid w:val="007505A0"/>
    <w:rsid w:val="00750847"/>
    <w:rsid w:val="00753832"/>
    <w:rsid w:val="007538AE"/>
    <w:rsid w:val="00755E6D"/>
    <w:rsid w:val="00757985"/>
    <w:rsid w:val="007579D1"/>
    <w:rsid w:val="007604BF"/>
    <w:rsid w:val="007608E9"/>
    <w:rsid w:val="00760ED0"/>
    <w:rsid w:val="007643C2"/>
    <w:rsid w:val="007645DD"/>
    <w:rsid w:val="00765E39"/>
    <w:rsid w:val="0076602E"/>
    <w:rsid w:val="0076659D"/>
    <w:rsid w:val="007673DB"/>
    <w:rsid w:val="00767F28"/>
    <w:rsid w:val="00770438"/>
    <w:rsid w:val="00771815"/>
    <w:rsid w:val="007720F3"/>
    <w:rsid w:val="00773060"/>
    <w:rsid w:val="0077308E"/>
    <w:rsid w:val="007734C7"/>
    <w:rsid w:val="00775188"/>
    <w:rsid w:val="00775F3B"/>
    <w:rsid w:val="0077789E"/>
    <w:rsid w:val="0078061B"/>
    <w:rsid w:val="0078091D"/>
    <w:rsid w:val="00780AFB"/>
    <w:rsid w:val="007810AB"/>
    <w:rsid w:val="00781B7A"/>
    <w:rsid w:val="00782891"/>
    <w:rsid w:val="00783A1D"/>
    <w:rsid w:val="00785488"/>
    <w:rsid w:val="0078707E"/>
    <w:rsid w:val="007875A0"/>
    <w:rsid w:val="00791375"/>
    <w:rsid w:val="00791D03"/>
    <w:rsid w:val="00791EFC"/>
    <w:rsid w:val="0079235B"/>
    <w:rsid w:val="007948D8"/>
    <w:rsid w:val="00794DFB"/>
    <w:rsid w:val="007950F8"/>
    <w:rsid w:val="0079605F"/>
    <w:rsid w:val="007966DC"/>
    <w:rsid w:val="007A0C02"/>
    <w:rsid w:val="007A0CD6"/>
    <w:rsid w:val="007A39DA"/>
    <w:rsid w:val="007A3B6D"/>
    <w:rsid w:val="007A5311"/>
    <w:rsid w:val="007A69B8"/>
    <w:rsid w:val="007A6E22"/>
    <w:rsid w:val="007B0344"/>
    <w:rsid w:val="007B108D"/>
    <w:rsid w:val="007B41B8"/>
    <w:rsid w:val="007B6973"/>
    <w:rsid w:val="007B69D3"/>
    <w:rsid w:val="007B6DD4"/>
    <w:rsid w:val="007B71A0"/>
    <w:rsid w:val="007B7786"/>
    <w:rsid w:val="007C0379"/>
    <w:rsid w:val="007C03E5"/>
    <w:rsid w:val="007C193C"/>
    <w:rsid w:val="007C3F25"/>
    <w:rsid w:val="007C5769"/>
    <w:rsid w:val="007C58FA"/>
    <w:rsid w:val="007C6574"/>
    <w:rsid w:val="007C7650"/>
    <w:rsid w:val="007C79BD"/>
    <w:rsid w:val="007D1F90"/>
    <w:rsid w:val="007D2F30"/>
    <w:rsid w:val="007D2F5E"/>
    <w:rsid w:val="007D4B59"/>
    <w:rsid w:val="007D60A4"/>
    <w:rsid w:val="007E07DA"/>
    <w:rsid w:val="007E231E"/>
    <w:rsid w:val="007E3E8C"/>
    <w:rsid w:val="007E40C7"/>
    <w:rsid w:val="007E47D4"/>
    <w:rsid w:val="007E482A"/>
    <w:rsid w:val="007E4831"/>
    <w:rsid w:val="007E4AD4"/>
    <w:rsid w:val="007E4C60"/>
    <w:rsid w:val="007E5CC5"/>
    <w:rsid w:val="007E6753"/>
    <w:rsid w:val="007E76C3"/>
    <w:rsid w:val="007E7DF3"/>
    <w:rsid w:val="007F03C6"/>
    <w:rsid w:val="007F18DF"/>
    <w:rsid w:val="007F266A"/>
    <w:rsid w:val="007F2A47"/>
    <w:rsid w:val="007F2BEB"/>
    <w:rsid w:val="007F35BF"/>
    <w:rsid w:val="007F3EA7"/>
    <w:rsid w:val="007F46D6"/>
    <w:rsid w:val="007F49CA"/>
    <w:rsid w:val="007F4BE9"/>
    <w:rsid w:val="00800083"/>
    <w:rsid w:val="008016F5"/>
    <w:rsid w:val="00801F21"/>
    <w:rsid w:val="00803DE4"/>
    <w:rsid w:val="00803E7A"/>
    <w:rsid w:val="00804D0A"/>
    <w:rsid w:val="00805939"/>
    <w:rsid w:val="008060AA"/>
    <w:rsid w:val="00807E02"/>
    <w:rsid w:val="00807F00"/>
    <w:rsid w:val="00810CEB"/>
    <w:rsid w:val="008111BC"/>
    <w:rsid w:val="00813697"/>
    <w:rsid w:val="00813BF7"/>
    <w:rsid w:val="00813D3A"/>
    <w:rsid w:val="008154E5"/>
    <w:rsid w:val="00816919"/>
    <w:rsid w:val="00816B7F"/>
    <w:rsid w:val="00817604"/>
    <w:rsid w:val="0081785F"/>
    <w:rsid w:val="00820344"/>
    <w:rsid w:val="00823BFA"/>
    <w:rsid w:val="008257EB"/>
    <w:rsid w:val="00826002"/>
    <w:rsid w:val="0083142E"/>
    <w:rsid w:val="0083259D"/>
    <w:rsid w:val="00833217"/>
    <w:rsid w:val="008338F0"/>
    <w:rsid w:val="0083522E"/>
    <w:rsid w:val="008362B4"/>
    <w:rsid w:val="00837A86"/>
    <w:rsid w:val="00841016"/>
    <w:rsid w:val="00842008"/>
    <w:rsid w:val="0084277E"/>
    <w:rsid w:val="00842E46"/>
    <w:rsid w:val="008433E4"/>
    <w:rsid w:val="008438B5"/>
    <w:rsid w:val="00844157"/>
    <w:rsid w:val="0084489D"/>
    <w:rsid w:val="00844C47"/>
    <w:rsid w:val="00845EF9"/>
    <w:rsid w:val="00846BD4"/>
    <w:rsid w:val="00847EF9"/>
    <w:rsid w:val="008503F6"/>
    <w:rsid w:val="008510A1"/>
    <w:rsid w:val="00851D97"/>
    <w:rsid w:val="00853638"/>
    <w:rsid w:val="0085488A"/>
    <w:rsid w:val="0085536D"/>
    <w:rsid w:val="0085634B"/>
    <w:rsid w:val="00856FF0"/>
    <w:rsid w:val="0085705D"/>
    <w:rsid w:val="008575F6"/>
    <w:rsid w:val="00857D03"/>
    <w:rsid w:val="00857D0A"/>
    <w:rsid w:val="008607D5"/>
    <w:rsid w:val="00862BAD"/>
    <w:rsid w:val="00862BDA"/>
    <w:rsid w:val="00862C79"/>
    <w:rsid w:val="008646A3"/>
    <w:rsid w:val="0086581D"/>
    <w:rsid w:val="008659A9"/>
    <w:rsid w:val="00866C40"/>
    <w:rsid w:val="00867595"/>
    <w:rsid w:val="00871A86"/>
    <w:rsid w:val="00871B64"/>
    <w:rsid w:val="0087298D"/>
    <w:rsid w:val="00873CC6"/>
    <w:rsid w:val="008767D0"/>
    <w:rsid w:val="00877E49"/>
    <w:rsid w:val="00880470"/>
    <w:rsid w:val="008818E0"/>
    <w:rsid w:val="00882AF5"/>
    <w:rsid w:val="0088361E"/>
    <w:rsid w:val="00883F0B"/>
    <w:rsid w:val="00883F94"/>
    <w:rsid w:val="00884ABE"/>
    <w:rsid w:val="00885446"/>
    <w:rsid w:val="00886AF6"/>
    <w:rsid w:val="008870D3"/>
    <w:rsid w:val="00887F21"/>
    <w:rsid w:val="00890C09"/>
    <w:rsid w:val="00892FFD"/>
    <w:rsid w:val="008930A2"/>
    <w:rsid w:val="0089347D"/>
    <w:rsid w:val="008935E1"/>
    <w:rsid w:val="00893FE8"/>
    <w:rsid w:val="0089504C"/>
    <w:rsid w:val="0089603F"/>
    <w:rsid w:val="00896142"/>
    <w:rsid w:val="008A0937"/>
    <w:rsid w:val="008A09EB"/>
    <w:rsid w:val="008A0F69"/>
    <w:rsid w:val="008A2265"/>
    <w:rsid w:val="008A2460"/>
    <w:rsid w:val="008A2479"/>
    <w:rsid w:val="008A2824"/>
    <w:rsid w:val="008A4959"/>
    <w:rsid w:val="008A52C6"/>
    <w:rsid w:val="008A6D2A"/>
    <w:rsid w:val="008A7669"/>
    <w:rsid w:val="008B02C3"/>
    <w:rsid w:val="008B0892"/>
    <w:rsid w:val="008B2188"/>
    <w:rsid w:val="008B46D9"/>
    <w:rsid w:val="008B4B15"/>
    <w:rsid w:val="008B6966"/>
    <w:rsid w:val="008B6D13"/>
    <w:rsid w:val="008B7970"/>
    <w:rsid w:val="008C1824"/>
    <w:rsid w:val="008C1888"/>
    <w:rsid w:val="008C1CCD"/>
    <w:rsid w:val="008C3D5F"/>
    <w:rsid w:val="008C4EF9"/>
    <w:rsid w:val="008C5CEF"/>
    <w:rsid w:val="008C6B28"/>
    <w:rsid w:val="008C7175"/>
    <w:rsid w:val="008C7932"/>
    <w:rsid w:val="008C7940"/>
    <w:rsid w:val="008D0EF9"/>
    <w:rsid w:val="008D1B02"/>
    <w:rsid w:val="008D23E6"/>
    <w:rsid w:val="008D299A"/>
    <w:rsid w:val="008D2EE8"/>
    <w:rsid w:val="008D30E5"/>
    <w:rsid w:val="008D7F14"/>
    <w:rsid w:val="008E0334"/>
    <w:rsid w:val="008E1100"/>
    <w:rsid w:val="008E1452"/>
    <w:rsid w:val="008E1A7F"/>
    <w:rsid w:val="008E22CB"/>
    <w:rsid w:val="008E2B7E"/>
    <w:rsid w:val="008E3317"/>
    <w:rsid w:val="008E491C"/>
    <w:rsid w:val="008E599B"/>
    <w:rsid w:val="008E5A15"/>
    <w:rsid w:val="008E6863"/>
    <w:rsid w:val="008E6A7C"/>
    <w:rsid w:val="008E6E18"/>
    <w:rsid w:val="008F010F"/>
    <w:rsid w:val="008F0345"/>
    <w:rsid w:val="008F1445"/>
    <w:rsid w:val="008F2598"/>
    <w:rsid w:val="008F38DC"/>
    <w:rsid w:val="008F3A52"/>
    <w:rsid w:val="008F5DBD"/>
    <w:rsid w:val="008F7EFD"/>
    <w:rsid w:val="009006E7"/>
    <w:rsid w:val="00900A93"/>
    <w:rsid w:val="0090113B"/>
    <w:rsid w:val="009015D6"/>
    <w:rsid w:val="00904E17"/>
    <w:rsid w:val="00907A1B"/>
    <w:rsid w:val="009112A7"/>
    <w:rsid w:val="00911696"/>
    <w:rsid w:val="00912377"/>
    <w:rsid w:val="00912B20"/>
    <w:rsid w:val="00912D1D"/>
    <w:rsid w:val="0091316B"/>
    <w:rsid w:val="009137A8"/>
    <w:rsid w:val="009160EF"/>
    <w:rsid w:val="00920563"/>
    <w:rsid w:val="009240BF"/>
    <w:rsid w:val="00925126"/>
    <w:rsid w:val="0092761A"/>
    <w:rsid w:val="00927EB8"/>
    <w:rsid w:val="00927FED"/>
    <w:rsid w:val="00931078"/>
    <w:rsid w:val="009313F8"/>
    <w:rsid w:val="00931B51"/>
    <w:rsid w:val="00932827"/>
    <w:rsid w:val="00933297"/>
    <w:rsid w:val="0093478F"/>
    <w:rsid w:val="0093489D"/>
    <w:rsid w:val="00935779"/>
    <w:rsid w:val="00935C02"/>
    <w:rsid w:val="00936E05"/>
    <w:rsid w:val="00936E99"/>
    <w:rsid w:val="0094079F"/>
    <w:rsid w:val="009407B1"/>
    <w:rsid w:val="00941637"/>
    <w:rsid w:val="00942F65"/>
    <w:rsid w:val="009439B9"/>
    <w:rsid w:val="00943D71"/>
    <w:rsid w:val="00945073"/>
    <w:rsid w:val="009469F7"/>
    <w:rsid w:val="00946B77"/>
    <w:rsid w:val="00946D07"/>
    <w:rsid w:val="00947A88"/>
    <w:rsid w:val="009524F7"/>
    <w:rsid w:val="009525B0"/>
    <w:rsid w:val="00952CCC"/>
    <w:rsid w:val="00953A68"/>
    <w:rsid w:val="0095408A"/>
    <w:rsid w:val="009547B9"/>
    <w:rsid w:val="00954913"/>
    <w:rsid w:val="00955084"/>
    <w:rsid w:val="009566E7"/>
    <w:rsid w:val="00956A88"/>
    <w:rsid w:val="00957FAD"/>
    <w:rsid w:val="00960C26"/>
    <w:rsid w:val="00960F35"/>
    <w:rsid w:val="0096325E"/>
    <w:rsid w:val="009641F5"/>
    <w:rsid w:val="00964BB9"/>
    <w:rsid w:val="00965B7A"/>
    <w:rsid w:val="00965ED9"/>
    <w:rsid w:val="00966FF9"/>
    <w:rsid w:val="00967CCD"/>
    <w:rsid w:val="0097041F"/>
    <w:rsid w:val="00970ED9"/>
    <w:rsid w:val="009715F8"/>
    <w:rsid w:val="00971E7F"/>
    <w:rsid w:val="00972905"/>
    <w:rsid w:val="00972FB2"/>
    <w:rsid w:val="0097327E"/>
    <w:rsid w:val="00973309"/>
    <w:rsid w:val="0097376A"/>
    <w:rsid w:val="00974170"/>
    <w:rsid w:val="00974562"/>
    <w:rsid w:val="00974A28"/>
    <w:rsid w:val="0097513C"/>
    <w:rsid w:val="009758DE"/>
    <w:rsid w:val="00976FE3"/>
    <w:rsid w:val="0098196D"/>
    <w:rsid w:val="0098342D"/>
    <w:rsid w:val="00983BCC"/>
    <w:rsid w:val="00984286"/>
    <w:rsid w:val="00985419"/>
    <w:rsid w:val="0098584E"/>
    <w:rsid w:val="00986DF7"/>
    <w:rsid w:val="00987067"/>
    <w:rsid w:val="0098780F"/>
    <w:rsid w:val="00987D0C"/>
    <w:rsid w:val="00990DA8"/>
    <w:rsid w:val="00990FB2"/>
    <w:rsid w:val="00991358"/>
    <w:rsid w:val="00992770"/>
    <w:rsid w:val="0099279C"/>
    <w:rsid w:val="00993BD1"/>
    <w:rsid w:val="0099431A"/>
    <w:rsid w:val="0099527A"/>
    <w:rsid w:val="009956FD"/>
    <w:rsid w:val="009957E2"/>
    <w:rsid w:val="00995A0B"/>
    <w:rsid w:val="00995BF1"/>
    <w:rsid w:val="00996707"/>
    <w:rsid w:val="00997243"/>
    <w:rsid w:val="00997405"/>
    <w:rsid w:val="00997AB5"/>
    <w:rsid w:val="009A0258"/>
    <w:rsid w:val="009A1740"/>
    <w:rsid w:val="009A1B48"/>
    <w:rsid w:val="009A1D4F"/>
    <w:rsid w:val="009A2983"/>
    <w:rsid w:val="009A301F"/>
    <w:rsid w:val="009A3B5B"/>
    <w:rsid w:val="009A4A20"/>
    <w:rsid w:val="009A67B5"/>
    <w:rsid w:val="009A72DC"/>
    <w:rsid w:val="009B0532"/>
    <w:rsid w:val="009B06B1"/>
    <w:rsid w:val="009B0E6F"/>
    <w:rsid w:val="009B13AD"/>
    <w:rsid w:val="009B1810"/>
    <w:rsid w:val="009B253C"/>
    <w:rsid w:val="009B4105"/>
    <w:rsid w:val="009B5D66"/>
    <w:rsid w:val="009B76F9"/>
    <w:rsid w:val="009C3135"/>
    <w:rsid w:val="009C3CD3"/>
    <w:rsid w:val="009C3D8E"/>
    <w:rsid w:val="009C44B0"/>
    <w:rsid w:val="009C4906"/>
    <w:rsid w:val="009C5B64"/>
    <w:rsid w:val="009C5B78"/>
    <w:rsid w:val="009C734C"/>
    <w:rsid w:val="009C73BD"/>
    <w:rsid w:val="009C7607"/>
    <w:rsid w:val="009C771A"/>
    <w:rsid w:val="009D0843"/>
    <w:rsid w:val="009D1128"/>
    <w:rsid w:val="009D13FC"/>
    <w:rsid w:val="009D3193"/>
    <w:rsid w:val="009D3D71"/>
    <w:rsid w:val="009D780A"/>
    <w:rsid w:val="009E0207"/>
    <w:rsid w:val="009E19B4"/>
    <w:rsid w:val="009E1A72"/>
    <w:rsid w:val="009E220F"/>
    <w:rsid w:val="009E26BC"/>
    <w:rsid w:val="009E2868"/>
    <w:rsid w:val="009E52BE"/>
    <w:rsid w:val="009E5585"/>
    <w:rsid w:val="009E73E9"/>
    <w:rsid w:val="009E7CA7"/>
    <w:rsid w:val="009E7D37"/>
    <w:rsid w:val="009E7F71"/>
    <w:rsid w:val="009F03F7"/>
    <w:rsid w:val="009F16D7"/>
    <w:rsid w:val="009F1E3B"/>
    <w:rsid w:val="009F35A9"/>
    <w:rsid w:val="009F465B"/>
    <w:rsid w:val="009F567F"/>
    <w:rsid w:val="009F63BE"/>
    <w:rsid w:val="009F6AC3"/>
    <w:rsid w:val="009F6B4A"/>
    <w:rsid w:val="009F7ED1"/>
    <w:rsid w:val="00A00C50"/>
    <w:rsid w:val="00A018C6"/>
    <w:rsid w:val="00A01EC7"/>
    <w:rsid w:val="00A03907"/>
    <w:rsid w:val="00A056D7"/>
    <w:rsid w:val="00A0604C"/>
    <w:rsid w:val="00A07109"/>
    <w:rsid w:val="00A1089B"/>
    <w:rsid w:val="00A113B7"/>
    <w:rsid w:val="00A11642"/>
    <w:rsid w:val="00A12316"/>
    <w:rsid w:val="00A12DED"/>
    <w:rsid w:val="00A13168"/>
    <w:rsid w:val="00A1337B"/>
    <w:rsid w:val="00A1376F"/>
    <w:rsid w:val="00A144D8"/>
    <w:rsid w:val="00A152A7"/>
    <w:rsid w:val="00A154B9"/>
    <w:rsid w:val="00A15751"/>
    <w:rsid w:val="00A15AD4"/>
    <w:rsid w:val="00A20FAD"/>
    <w:rsid w:val="00A21ADB"/>
    <w:rsid w:val="00A22226"/>
    <w:rsid w:val="00A2681B"/>
    <w:rsid w:val="00A26D9F"/>
    <w:rsid w:val="00A27106"/>
    <w:rsid w:val="00A30552"/>
    <w:rsid w:val="00A309F6"/>
    <w:rsid w:val="00A3214B"/>
    <w:rsid w:val="00A32486"/>
    <w:rsid w:val="00A33324"/>
    <w:rsid w:val="00A3382F"/>
    <w:rsid w:val="00A3384C"/>
    <w:rsid w:val="00A33AF3"/>
    <w:rsid w:val="00A3556D"/>
    <w:rsid w:val="00A36BF9"/>
    <w:rsid w:val="00A36E39"/>
    <w:rsid w:val="00A40F32"/>
    <w:rsid w:val="00A41BCA"/>
    <w:rsid w:val="00A43AE9"/>
    <w:rsid w:val="00A441F0"/>
    <w:rsid w:val="00A452DA"/>
    <w:rsid w:val="00A47286"/>
    <w:rsid w:val="00A47CA5"/>
    <w:rsid w:val="00A50D8F"/>
    <w:rsid w:val="00A51E87"/>
    <w:rsid w:val="00A52BF4"/>
    <w:rsid w:val="00A5493A"/>
    <w:rsid w:val="00A54CC4"/>
    <w:rsid w:val="00A5556A"/>
    <w:rsid w:val="00A562D4"/>
    <w:rsid w:val="00A56872"/>
    <w:rsid w:val="00A57598"/>
    <w:rsid w:val="00A57972"/>
    <w:rsid w:val="00A601E9"/>
    <w:rsid w:val="00A617EB"/>
    <w:rsid w:val="00A619A3"/>
    <w:rsid w:val="00A62D64"/>
    <w:rsid w:val="00A62EF5"/>
    <w:rsid w:val="00A633D4"/>
    <w:rsid w:val="00A63401"/>
    <w:rsid w:val="00A63779"/>
    <w:rsid w:val="00A64998"/>
    <w:rsid w:val="00A67A0F"/>
    <w:rsid w:val="00A70020"/>
    <w:rsid w:val="00A700A8"/>
    <w:rsid w:val="00A74CD1"/>
    <w:rsid w:val="00A74DED"/>
    <w:rsid w:val="00A74F26"/>
    <w:rsid w:val="00A76600"/>
    <w:rsid w:val="00A76D3F"/>
    <w:rsid w:val="00A80835"/>
    <w:rsid w:val="00A81835"/>
    <w:rsid w:val="00A83B34"/>
    <w:rsid w:val="00A83CDD"/>
    <w:rsid w:val="00A85981"/>
    <w:rsid w:val="00A86861"/>
    <w:rsid w:val="00A86DE0"/>
    <w:rsid w:val="00A91136"/>
    <w:rsid w:val="00A91C5D"/>
    <w:rsid w:val="00A91DDE"/>
    <w:rsid w:val="00A92C6F"/>
    <w:rsid w:val="00A92EF4"/>
    <w:rsid w:val="00A93E99"/>
    <w:rsid w:val="00A94C02"/>
    <w:rsid w:val="00A94EF8"/>
    <w:rsid w:val="00A9681B"/>
    <w:rsid w:val="00A97C79"/>
    <w:rsid w:val="00AA1302"/>
    <w:rsid w:val="00AA1762"/>
    <w:rsid w:val="00AA220A"/>
    <w:rsid w:val="00AA2DDF"/>
    <w:rsid w:val="00AA2E00"/>
    <w:rsid w:val="00AA3239"/>
    <w:rsid w:val="00AA41C8"/>
    <w:rsid w:val="00AA5241"/>
    <w:rsid w:val="00AA5609"/>
    <w:rsid w:val="00AA583C"/>
    <w:rsid w:val="00AA5F35"/>
    <w:rsid w:val="00AA6D6A"/>
    <w:rsid w:val="00AA73C3"/>
    <w:rsid w:val="00AA73C4"/>
    <w:rsid w:val="00AA79A2"/>
    <w:rsid w:val="00AB08D9"/>
    <w:rsid w:val="00AB0BD6"/>
    <w:rsid w:val="00AB1033"/>
    <w:rsid w:val="00AB17C9"/>
    <w:rsid w:val="00AB1C16"/>
    <w:rsid w:val="00AB1CE2"/>
    <w:rsid w:val="00AB3339"/>
    <w:rsid w:val="00AB34C6"/>
    <w:rsid w:val="00AB48FC"/>
    <w:rsid w:val="00AB4D40"/>
    <w:rsid w:val="00AB6F6C"/>
    <w:rsid w:val="00AB71EB"/>
    <w:rsid w:val="00AB7792"/>
    <w:rsid w:val="00AC0141"/>
    <w:rsid w:val="00AC0382"/>
    <w:rsid w:val="00AC2243"/>
    <w:rsid w:val="00AC3158"/>
    <w:rsid w:val="00AC5004"/>
    <w:rsid w:val="00AC6C39"/>
    <w:rsid w:val="00AC708D"/>
    <w:rsid w:val="00AC738E"/>
    <w:rsid w:val="00AD0348"/>
    <w:rsid w:val="00AD233D"/>
    <w:rsid w:val="00AD2C5E"/>
    <w:rsid w:val="00AD47D6"/>
    <w:rsid w:val="00AD49D7"/>
    <w:rsid w:val="00AD55F4"/>
    <w:rsid w:val="00AD5B03"/>
    <w:rsid w:val="00AD5FFA"/>
    <w:rsid w:val="00AD77D9"/>
    <w:rsid w:val="00AE0FCD"/>
    <w:rsid w:val="00AE11D7"/>
    <w:rsid w:val="00AE248E"/>
    <w:rsid w:val="00AE53B0"/>
    <w:rsid w:val="00AE5C5C"/>
    <w:rsid w:val="00AE6D46"/>
    <w:rsid w:val="00AE744B"/>
    <w:rsid w:val="00AE7451"/>
    <w:rsid w:val="00AE7739"/>
    <w:rsid w:val="00AF00C2"/>
    <w:rsid w:val="00AF03B8"/>
    <w:rsid w:val="00AF0C42"/>
    <w:rsid w:val="00AF1609"/>
    <w:rsid w:val="00AF1FFE"/>
    <w:rsid w:val="00AF29F3"/>
    <w:rsid w:val="00AF343D"/>
    <w:rsid w:val="00AF3775"/>
    <w:rsid w:val="00AF5756"/>
    <w:rsid w:val="00AF672E"/>
    <w:rsid w:val="00AF6746"/>
    <w:rsid w:val="00AF6AE0"/>
    <w:rsid w:val="00AF73D9"/>
    <w:rsid w:val="00AF7825"/>
    <w:rsid w:val="00B02263"/>
    <w:rsid w:val="00B03B59"/>
    <w:rsid w:val="00B03BCF"/>
    <w:rsid w:val="00B04C90"/>
    <w:rsid w:val="00B05EAE"/>
    <w:rsid w:val="00B05EB4"/>
    <w:rsid w:val="00B063FD"/>
    <w:rsid w:val="00B078A2"/>
    <w:rsid w:val="00B101F0"/>
    <w:rsid w:val="00B10400"/>
    <w:rsid w:val="00B11F6A"/>
    <w:rsid w:val="00B13670"/>
    <w:rsid w:val="00B13D91"/>
    <w:rsid w:val="00B14357"/>
    <w:rsid w:val="00B145CB"/>
    <w:rsid w:val="00B15F9A"/>
    <w:rsid w:val="00B1685F"/>
    <w:rsid w:val="00B17F4B"/>
    <w:rsid w:val="00B2083B"/>
    <w:rsid w:val="00B20ED2"/>
    <w:rsid w:val="00B20F3B"/>
    <w:rsid w:val="00B213E9"/>
    <w:rsid w:val="00B214CD"/>
    <w:rsid w:val="00B23045"/>
    <w:rsid w:val="00B23E90"/>
    <w:rsid w:val="00B23F79"/>
    <w:rsid w:val="00B24019"/>
    <w:rsid w:val="00B24363"/>
    <w:rsid w:val="00B256E0"/>
    <w:rsid w:val="00B26833"/>
    <w:rsid w:val="00B276AF"/>
    <w:rsid w:val="00B27A6B"/>
    <w:rsid w:val="00B302CC"/>
    <w:rsid w:val="00B31093"/>
    <w:rsid w:val="00B31EB6"/>
    <w:rsid w:val="00B33C49"/>
    <w:rsid w:val="00B363D5"/>
    <w:rsid w:val="00B3658A"/>
    <w:rsid w:val="00B42F2B"/>
    <w:rsid w:val="00B4399E"/>
    <w:rsid w:val="00B46B34"/>
    <w:rsid w:val="00B50238"/>
    <w:rsid w:val="00B50EFC"/>
    <w:rsid w:val="00B5104E"/>
    <w:rsid w:val="00B51E0F"/>
    <w:rsid w:val="00B52698"/>
    <w:rsid w:val="00B52FF8"/>
    <w:rsid w:val="00B5766F"/>
    <w:rsid w:val="00B579DB"/>
    <w:rsid w:val="00B57C08"/>
    <w:rsid w:val="00B61562"/>
    <w:rsid w:val="00B61721"/>
    <w:rsid w:val="00B61D54"/>
    <w:rsid w:val="00B621AF"/>
    <w:rsid w:val="00B63152"/>
    <w:rsid w:val="00B63606"/>
    <w:rsid w:val="00B64A3D"/>
    <w:rsid w:val="00B64FD1"/>
    <w:rsid w:val="00B667B2"/>
    <w:rsid w:val="00B67A1F"/>
    <w:rsid w:val="00B71EB5"/>
    <w:rsid w:val="00B729E5"/>
    <w:rsid w:val="00B72C7C"/>
    <w:rsid w:val="00B739EE"/>
    <w:rsid w:val="00B74121"/>
    <w:rsid w:val="00B751A9"/>
    <w:rsid w:val="00B76E7D"/>
    <w:rsid w:val="00B76EE3"/>
    <w:rsid w:val="00B80F9C"/>
    <w:rsid w:val="00B8125C"/>
    <w:rsid w:val="00B81BB3"/>
    <w:rsid w:val="00B81C8D"/>
    <w:rsid w:val="00B82DB1"/>
    <w:rsid w:val="00B82DDF"/>
    <w:rsid w:val="00B859F3"/>
    <w:rsid w:val="00B85EC9"/>
    <w:rsid w:val="00B86427"/>
    <w:rsid w:val="00B87650"/>
    <w:rsid w:val="00B90020"/>
    <w:rsid w:val="00B911E6"/>
    <w:rsid w:val="00B91223"/>
    <w:rsid w:val="00B93854"/>
    <w:rsid w:val="00B93B36"/>
    <w:rsid w:val="00B9417F"/>
    <w:rsid w:val="00B943EA"/>
    <w:rsid w:val="00B9553A"/>
    <w:rsid w:val="00B9677F"/>
    <w:rsid w:val="00B9680E"/>
    <w:rsid w:val="00B97122"/>
    <w:rsid w:val="00B9749A"/>
    <w:rsid w:val="00B97640"/>
    <w:rsid w:val="00B9768D"/>
    <w:rsid w:val="00B97B3D"/>
    <w:rsid w:val="00B97EDB"/>
    <w:rsid w:val="00BA07B0"/>
    <w:rsid w:val="00BA099B"/>
    <w:rsid w:val="00BA125E"/>
    <w:rsid w:val="00BA171D"/>
    <w:rsid w:val="00BA18CC"/>
    <w:rsid w:val="00BA1DBA"/>
    <w:rsid w:val="00BA3017"/>
    <w:rsid w:val="00BA47EB"/>
    <w:rsid w:val="00BA6C4F"/>
    <w:rsid w:val="00BB0927"/>
    <w:rsid w:val="00BB0CA7"/>
    <w:rsid w:val="00BB2659"/>
    <w:rsid w:val="00BB2E4F"/>
    <w:rsid w:val="00BB344E"/>
    <w:rsid w:val="00BB3FBD"/>
    <w:rsid w:val="00BB4B41"/>
    <w:rsid w:val="00BB5E65"/>
    <w:rsid w:val="00BC0425"/>
    <w:rsid w:val="00BC04A2"/>
    <w:rsid w:val="00BC1657"/>
    <w:rsid w:val="00BC2A7E"/>
    <w:rsid w:val="00BC2ADF"/>
    <w:rsid w:val="00BC2F6A"/>
    <w:rsid w:val="00BC3A82"/>
    <w:rsid w:val="00BC4A1A"/>
    <w:rsid w:val="00BC51D5"/>
    <w:rsid w:val="00BC52BE"/>
    <w:rsid w:val="00BC71E3"/>
    <w:rsid w:val="00BC7540"/>
    <w:rsid w:val="00BD13AA"/>
    <w:rsid w:val="00BD25EC"/>
    <w:rsid w:val="00BD2887"/>
    <w:rsid w:val="00BD2E94"/>
    <w:rsid w:val="00BD2FC2"/>
    <w:rsid w:val="00BD5D66"/>
    <w:rsid w:val="00BD6AAB"/>
    <w:rsid w:val="00BD6D12"/>
    <w:rsid w:val="00BD7A67"/>
    <w:rsid w:val="00BE05B4"/>
    <w:rsid w:val="00BE08EB"/>
    <w:rsid w:val="00BE120C"/>
    <w:rsid w:val="00BE17C1"/>
    <w:rsid w:val="00BE1904"/>
    <w:rsid w:val="00BE1F45"/>
    <w:rsid w:val="00BE21FF"/>
    <w:rsid w:val="00BE4930"/>
    <w:rsid w:val="00BE5B69"/>
    <w:rsid w:val="00BE5BF0"/>
    <w:rsid w:val="00BE6CC7"/>
    <w:rsid w:val="00BE724E"/>
    <w:rsid w:val="00BF04AD"/>
    <w:rsid w:val="00BF06B7"/>
    <w:rsid w:val="00BF14B7"/>
    <w:rsid w:val="00BF17E4"/>
    <w:rsid w:val="00BF4DF3"/>
    <w:rsid w:val="00BF6686"/>
    <w:rsid w:val="00BF6803"/>
    <w:rsid w:val="00BF7464"/>
    <w:rsid w:val="00BF7991"/>
    <w:rsid w:val="00C00304"/>
    <w:rsid w:val="00C00813"/>
    <w:rsid w:val="00C0099C"/>
    <w:rsid w:val="00C02229"/>
    <w:rsid w:val="00C0281E"/>
    <w:rsid w:val="00C02921"/>
    <w:rsid w:val="00C0304B"/>
    <w:rsid w:val="00C035AE"/>
    <w:rsid w:val="00C0513C"/>
    <w:rsid w:val="00C05529"/>
    <w:rsid w:val="00C061F6"/>
    <w:rsid w:val="00C10749"/>
    <w:rsid w:val="00C10C42"/>
    <w:rsid w:val="00C1247C"/>
    <w:rsid w:val="00C12AE7"/>
    <w:rsid w:val="00C12DB2"/>
    <w:rsid w:val="00C13BEC"/>
    <w:rsid w:val="00C13F6B"/>
    <w:rsid w:val="00C151B4"/>
    <w:rsid w:val="00C16276"/>
    <w:rsid w:val="00C16CFF"/>
    <w:rsid w:val="00C17343"/>
    <w:rsid w:val="00C20390"/>
    <w:rsid w:val="00C20804"/>
    <w:rsid w:val="00C20897"/>
    <w:rsid w:val="00C21BB1"/>
    <w:rsid w:val="00C22CEE"/>
    <w:rsid w:val="00C22D02"/>
    <w:rsid w:val="00C2385A"/>
    <w:rsid w:val="00C24033"/>
    <w:rsid w:val="00C24E65"/>
    <w:rsid w:val="00C2521F"/>
    <w:rsid w:val="00C2685C"/>
    <w:rsid w:val="00C27874"/>
    <w:rsid w:val="00C300FA"/>
    <w:rsid w:val="00C30FFC"/>
    <w:rsid w:val="00C317C6"/>
    <w:rsid w:val="00C34756"/>
    <w:rsid w:val="00C349B0"/>
    <w:rsid w:val="00C35566"/>
    <w:rsid w:val="00C36C69"/>
    <w:rsid w:val="00C37913"/>
    <w:rsid w:val="00C4077C"/>
    <w:rsid w:val="00C41765"/>
    <w:rsid w:val="00C42034"/>
    <w:rsid w:val="00C424AA"/>
    <w:rsid w:val="00C428CF"/>
    <w:rsid w:val="00C45684"/>
    <w:rsid w:val="00C45CBA"/>
    <w:rsid w:val="00C45CD7"/>
    <w:rsid w:val="00C462E5"/>
    <w:rsid w:val="00C46F08"/>
    <w:rsid w:val="00C47F97"/>
    <w:rsid w:val="00C50612"/>
    <w:rsid w:val="00C5123F"/>
    <w:rsid w:val="00C525CC"/>
    <w:rsid w:val="00C53589"/>
    <w:rsid w:val="00C5378E"/>
    <w:rsid w:val="00C5414A"/>
    <w:rsid w:val="00C559CD"/>
    <w:rsid w:val="00C563C5"/>
    <w:rsid w:val="00C56E44"/>
    <w:rsid w:val="00C57F07"/>
    <w:rsid w:val="00C603AA"/>
    <w:rsid w:val="00C606C9"/>
    <w:rsid w:val="00C619FE"/>
    <w:rsid w:val="00C62BE8"/>
    <w:rsid w:val="00C636B4"/>
    <w:rsid w:val="00C63710"/>
    <w:rsid w:val="00C63773"/>
    <w:rsid w:val="00C63C39"/>
    <w:rsid w:val="00C662DC"/>
    <w:rsid w:val="00C66899"/>
    <w:rsid w:val="00C67331"/>
    <w:rsid w:val="00C67AFE"/>
    <w:rsid w:val="00C72AE4"/>
    <w:rsid w:val="00C73550"/>
    <w:rsid w:val="00C74219"/>
    <w:rsid w:val="00C74233"/>
    <w:rsid w:val="00C746E9"/>
    <w:rsid w:val="00C7528E"/>
    <w:rsid w:val="00C75392"/>
    <w:rsid w:val="00C753C7"/>
    <w:rsid w:val="00C75775"/>
    <w:rsid w:val="00C76D58"/>
    <w:rsid w:val="00C77E5C"/>
    <w:rsid w:val="00C8113E"/>
    <w:rsid w:val="00C81546"/>
    <w:rsid w:val="00C81717"/>
    <w:rsid w:val="00C82220"/>
    <w:rsid w:val="00C8297D"/>
    <w:rsid w:val="00C82F8C"/>
    <w:rsid w:val="00C832BA"/>
    <w:rsid w:val="00C842BA"/>
    <w:rsid w:val="00C85C35"/>
    <w:rsid w:val="00C8626A"/>
    <w:rsid w:val="00C86469"/>
    <w:rsid w:val="00C86C28"/>
    <w:rsid w:val="00C86F37"/>
    <w:rsid w:val="00C87DBE"/>
    <w:rsid w:val="00C90B96"/>
    <w:rsid w:val="00C9186B"/>
    <w:rsid w:val="00C919ED"/>
    <w:rsid w:val="00C9453C"/>
    <w:rsid w:val="00C95017"/>
    <w:rsid w:val="00C960EA"/>
    <w:rsid w:val="00C9634E"/>
    <w:rsid w:val="00C96D89"/>
    <w:rsid w:val="00C9758F"/>
    <w:rsid w:val="00C97BD8"/>
    <w:rsid w:val="00CA007F"/>
    <w:rsid w:val="00CA0D05"/>
    <w:rsid w:val="00CA0F74"/>
    <w:rsid w:val="00CA275F"/>
    <w:rsid w:val="00CA28CF"/>
    <w:rsid w:val="00CA334B"/>
    <w:rsid w:val="00CA3FFB"/>
    <w:rsid w:val="00CA5889"/>
    <w:rsid w:val="00CA5C39"/>
    <w:rsid w:val="00CB1187"/>
    <w:rsid w:val="00CB1D44"/>
    <w:rsid w:val="00CB222C"/>
    <w:rsid w:val="00CB2608"/>
    <w:rsid w:val="00CB329B"/>
    <w:rsid w:val="00CB52E7"/>
    <w:rsid w:val="00CC1958"/>
    <w:rsid w:val="00CC22C0"/>
    <w:rsid w:val="00CC437A"/>
    <w:rsid w:val="00CC484E"/>
    <w:rsid w:val="00CC5809"/>
    <w:rsid w:val="00CD0230"/>
    <w:rsid w:val="00CD1CD0"/>
    <w:rsid w:val="00CD1E0D"/>
    <w:rsid w:val="00CD32A1"/>
    <w:rsid w:val="00CD3616"/>
    <w:rsid w:val="00CD3F3B"/>
    <w:rsid w:val="00CD4E40"/>
    <w:rsid w:val="00CD5349"/>
    <w:rsid w:val="00CD53D9"/>
    <w:rsid w:val="00CD59C9"/>
    <w:rsid w:val="00CD6E1E"/>
    <w:rsid w:val="00CD6E33"/>
    <w:rsid w:val="00CD799C"/>
    <w:rsid w:val="00CE06BD"/>
    <w:rsid w:val="00CE1EE3"/>
    <w:rsid w:val="00CE1FD8"/>
    <w:rsid w:val="00CE6372"/>
    <w:rsid w:val="00CE7A8B"/>
    <w:rsid w:val="00CE7C9A"/>
    <w:rsid w:val="00CF1295"/>
    <w:rsid w:val="00CF2E4A"/>
    <w:rsid w:val="00CF3018"/>
    <w:rsid w:val="00CF416B"/>
    <w:rsid w:val="00CF4225"/>
    <w:rsid w:val="00CF422D"/>
    <w:rsid w:val="00CF60BD"/>
    <w:rsid w:val="00CF6D6D"/>
    <w:rsid w:val="00CF7926"/>
    <w:rsid w:val="00CF7FFB"/>
    <w:rsid w:val="00D02674"/>
    <w:rsid w:val="00D02B5B"/>
    <w:rsid w:val="00D02F47"/>
    <w:rsid w:val="00D0393B"/>
    <w:rsid w:val="00D03A1E"/>
    <w:rsid w:val="00D0423F"/>
    <w:rsid w:val="00D04F04"/>
    <w:rsid w:val="00D04F78"/>
    <w:rsid w:val="00D06E05"/>
    <w:rsid w:val="00D06EF6"/>
    <w:rsid w:val="00D071CD"/>
    <w:rsid w:val="00D0794D"/>
    <w:rsid w:val="00D1199C"/>
    <w:rsid w:val="00D11A0F"/>
    <w:rsid w:val="00D126E2"/>
    <w:rsid w:val="00D15D42"/>
    <w:rsid w:val="00D16251"/>
    <w:rsid w:val="00D1665D"/>
    <w:rsid w:val="00D1759A"/>
    <w:rsid w:val="00D17D71"/>
    <w:rsid w:val="00D20B21"/>
    <w:rsid w:val="00D20CC8"/>
    <w:rsid w:val="00D210C5"/>
    <w:rsid w:val="00D214D7"/>
    <w:rsid w:val="00D21F78"/>
    <w:rsid w:val="00D21FCE"/>
    <w:rsid w:val="00D22D7D"/>
    <w:rsid w:val="00D23234"/>
    <w:rsid w:val="00D23724"/>
    <w:rsid w:val="00D237B3"/>
    <w:rsid w:val="00D23843"/>
    <w:rsid w:val="00D23F96"/>
    <w:rsid w:val="00D2497C"/>
    <w:rsid w:val="00D24BC1"/>
    <w:rsid w:val="00D25C42"/>
    <w:rsid w:val="00D25CF7"/>
    <w:rsid w:val="00D2643E"/>
    <w:rsid w:val="00D26CAD"/>
    <w:rsid w:val="00D27055"/>
    <w:rsid w:val="00D2771F"/>
    <w:rsid w:val="00D27E23"/>
    <w:rsid w:val="00D30AF3"/>
    <w:rsid w:val="00D31721"/>
    <w:rsid w:val="00D323D4"/>
    <w:rsid w:val="00D32BD5"/>
    <w:rsid w:val="00D33865"/>
    <w:rsid w:val="00D33F80"/>
    <w:rsid w:val="00D33FA8"/>
    <w:rsid w:val="00D34672"/>
    <w:rsid w:val="00D40712"/>
    <w:rsid w:val="00D41CA1"/>
    <w:rsid w:val="00D41E99"/>
    <w:rsid w:val="00D428F4"/>
    <w:rsid w:val="00D44AFF"/>
    <w:rsid w:val="00D44CC7"/>
    <w:rsid w:val="00D461F1"/>
    <w:rsid w:val="00D4635D"/>
    <w:rsid w:val="00D467FD"/>
    <w:rsid w:val="00D4746C"/>
    <w:rsid w:val="00D478F5"/>
    <w:rsid w:val="00D5056A"/>
    <w:rsid w:val="00D515A0"/>
    <w:rsid w:val="00D521BA"/>
    <w:rsid w:val="00D52C50"/>
    <w:rsid w:val="00D532A7"/>
    <w:rsid w:val="00D5491C"/>
    <w:rsid w:val="00D54A51"/>
    <w:rsid w:val="00D558A8"/>
    <w:rsid w:val="00D563CD"/>
    <w:rsid w:val="00D57070"/>
    <w:rsid w:val="00D61CD8"/>
    <w:rsid w:val="00D62C92"/>
    <w:rsid w:val="00D63791"/>
    <w:rsid w:val="00D65539"/>
    <w:rsid w:val="00D659C5"/>
    <w:rsid w:val="00D6736A"/>
    <w:rsid w:val="00D674D6"/>
    <w:rsid w:val="00D72899"/>
    <w:rsid w:val="00D74C32"/>
    <w:rsid w:val="00D74C4F"/>
    <w:rsid w:val="00D74F01"/>
    <w:rsid w:val="00D75672"/>
    <w:rsid w:val="00D762D7"/>
    <w:rsid w:val="00D76948"/>
    <w:rsid w:val="00D76B8A"/>
    <w:rsid w:val="00D77131"/>
    <w:rsid w:val="00D771EF"/>
    <w:rsid w:val="00D800BF"/>
    <w:rsid w:val="00D8039C"/>
    <w:rsid w:val="00D819F5"/>
    <w:rsid w:val="00D81F9A"/>
    <w:rsid w:val="00D83829"/>
    <w:rsid w:val="00D83EA4"/>
    <w:rsid w:val="00D87A24"/>
    <w:rsid w:val="00D903F6"/>
    <w:rsid w:val="00D909E6"/>
    <w:rsid w:val="00D90C9F"/>
    <w:rsid w:val="00D931A8"/>
    <w:rsid w:val="00D9383A"/>
    <w:rsid w:val="00D9403B"/>
    <w:rsid w:val="00D95F43"/>
    <w:rsid w:val="00D964EC"/>
    <w:rsid w:val="00D96B34"/>
    <w:rsid w:val="00DA0147"/>
    <w:rsid w:val="00DA29BC"/>
    <w:rsid w:val="00DA2FAD"/>
    <w:rsid w:val="00DA330C"/>
    <w:rsid w:val="00DA4E41"/>
    <w:rsid w:val="00DA5208"/>
    <w:rsid w:val="00DA5C96"/>
    <w:rsid w:val="00DA6997"/>
    <w:rsid w:val="00DA74AE"/>
    <w:rsid w:val="00DA7565"/>
    <w:rsid w:val="00DB166C"/>
    <w:rsid w:val="00DB3335"/>
    <w:rsid w:val="00DB4BB2"/>
    <w:rsid w:val="00DB552A"/>
    <w:rsid w:val="00DB589F"/>
    <w:rsid w:val="00DB5976"/>
    <w:rsid w:val="00DB7AEE"/>
    <w:rsid w:val="00DB7CF8"/>
    <w:rsid w:val="00DC12F7"/>
    <w:rsid w:val="00DC375F"/>
    <w:rsid w:val="00DC46AF"/>
    <w:rsid w:val="00DC53E1"/>
    <w:rsid w:val="00DC5BDA"/>
    <w:rsid w:val="00DC63F1"/>
    <w:rsid w:val="00DC6B69"/>
    <w:rsid w:val="00DC75E9"/>
    <w:rsid w:val="00DC7CD5"/>
    <w:rsid w:val="00DD0E60"/>
    <w:rsid w:val="00DD1964"/>
    <w:rsid w:val="00DD2964"/>
    <w:rsid w:val="00DD340B"/>
    <w:rsid w:val="00DD36AB"/>
    <w:rsid w:val="00DD3893"/>
    <w:rsid w:val="00DD3FA1"/>
    <w:rsid w:val="00DD56A7"/>
    <w:rsid w:val="00DE03C9"/>
    <w:rsid w:val="00DE1093"/>
    <w:rsid w:val="00DE1374"/>
    <w:rsid w:val="00DE2243"/>
    <w:rsid w:val="00DE2550"/>
    <w:rsid w:val="00DE264C"/>
    <w:rsid w:val="00DE4BB9"/>
    <w:rsid w:val="00DE5211"/>
    <w:rsid w:val="00DE5D11"/>
    <w:rsid w:val="00DF096F"/>
    <w:rsid w:val="00DF0B05"/>
    <w:rsid w:val="00DF18E9"/>
    <w:rsid w:val="00DF2769"/>
    <w:rsid w:val="00DF352D"/>
    <w:rsid w:val="00DF39DF"/>
    <w:rsid w:val="00DF4324"/>
    <w:rsid w:val="00DF6040"/>
    <w:rsid w:val="00DF6578"/>
    <w:rsid w:val="00DF731F"/>
    <w:rsid w:val="00E005A4"/>
    <w:rsid w:val="00E00AB4"/>
    <w:rsid w:val="00E00FA6"/>
    <w:rsid w:val="00E01048"/>
    <w:rsid w:val="00E0128A"/>
    <w:rsid w:val="00E017E4"/>
    <w:rsid w:val="00E01E92"/>
    <w:rsid w:val="00E0280C"/>
    <w:rsid w:val="00E02AB3"/>
    <w:rsid w:val="00E039E4"/>
    <w:rsid w:val="00E03D66"/>
    <w:rsid w:val="00E041C4"/>
    <w:rsid w:val="00E0447B"/>
    <w:rsid w:val="00E063FA"/>
    <w:rsid w:val="00E07B3F"/>
    <w:rsid w:val="00E10347"/>
    <w:rsid w:val="00E1044B"/>
    <w:rsid w:val="00E10A82"/>
    <w:rsid w:val="00E10BA2"/>
    <w:rsid w:val="00E11037"/>
    <w:rsid w:val="00E11120"/>
    <w:rsid w:val="00E117C2"/>
    <w:rsid w:val="00E121CD"/>
    <w:rsid w:val="00E12F0E"/>
    <w:rsid w:val="00E1426E"/>
    <w:rsid w:val="00E149AE"/>
    <w:rsid w:val="00E170BE"/>
    <w:rsid w:val="00E176C8"/>
    <w:rsid w:val="00E20FB8"/>
    <w:rsid w:val="00E21324"/>
    <w:rsid w:val="00E21C71"/>
    <w:rsid w:val="00E229D3"/>
    <w:rsid w:val="00E22C94"/>
    <w:rsid w:val="00E24598"/>
    <w:rsid w:val="00E24AA8"/>
    <w:rsid w:val="00E251F7"/>
    <w:rsid w:val="00E25FC7"/>
    <w:rsid w:val="00E25FE7"/>
    <w:rsid w:val="00E278F5"/>
    <w:rsid w:val="00E30368"/>
    <w:rsid w:val="00E30CEB"/>
    <w:rsid w:val="00E31C9A"/>
    <w:rsid w:val="00E31D41"/>
    <w:rsid w:val="00E32304"/>
    <w:rsid w:val="00E33506"/>
    <w:rsid w:val="00E35AA9"/>
    <w:rsid w:val="00E36B5B"/>
    <w:rsid w:val="00E36EFC"/>
    <w:rsid w:val="00E37888"/>
    <w:rsid w:val="00E379C6"/>
    <w:rsid w:val="00E4049F"/>
    <w:rsid w:val="00E407DF"/>
    <w:rsid w:val="00E41969"/>
    <w:rsid w:val="00E429AC"/>
    <w:rsid w:val="00E42F02"/>
    <w:rsid w:val="00E44F1A"/>
    <w:rsid w:val="00E460A6"/>
    <w:rsid w:val="00E476BE"/>
    <w:rsid w:val="00E507C7"/>
    <w:rsid w:val="00E519FF"/>
    <w:rsid w:val="00E524B5"/>
    <w:rsid w:val="00E52808"/>
    <w:rsid w:val="00E52F0A"/>
    <w:rsid w:val="00E536A2"/>
    <w:rsid w:val="00E54599"/>
    <w:rsid w:val="00E54827"/>
    <w:rsid w:val="00E54C3E"/>
    <w:rsid w:val="00E54CB9"/>
    <w:rsid w:val="00E560D4"/>
    <w:rsid w:val="00E5654F"/>
    <w:rsid w:val="00E5748B"/>
    <w:rsid w:val="00E60E9B"/>
    <w:rsid w:val="00E61198"/>
    <w:rsid w:val="00E6139C"/>
    <w:rsid w:val="00E61E19"/>
    <w:rsid w:val="00E622E9"/>
    <w:rsid w:val="00E6416A"/>
    <w:rsid w:val="00E652AE"/>
    <w:rsid w:val="00E65841"/>
    <w:rsid w:val="00E66740"/>
    <w:rsid w:val="00E66E83"/>
    <w:rsid w:val="00E679BC"/>
    <w:rsid w:val="00E67A55"/>
    <w:rsid w:val="00E7017B"/>
    <w:rsid w:val="00E70F81"/>
    <w:rsid w:val="00E72AAB"/>
    <w:rsid w:val="00E72FF2"/>
    <w:rsid w:val="00E73869"/>
    <w:rsid w:val="00E73A0F"/>
    <w:rsid w:val="00E744FA"/>
    <w:rsid w:val="00E75179"/>
    <w:rsid w:val="00E75355"/>
    <w:rsid w:val="00E76552"/>
    <w:rsid w:val="00E7736B"/>
    <w:rsid w:val="00E7795C"/>
    <w:rsid w:val="00E77E72"/>
    <w:rsid w:val="00E80BDE"/>
    <w:rsid w:val="00E81966"/>
    <w:rsid w:val="00E824EA"/>
    <w:rsid w:val="00E82CE9"/>
    <w:rsid w:val="00E859C1"/>
    <w:rsid w:val="00E860A2"/>
    <w:rsid w:val="00E87E8F"/>
    <w:rsid w:val="00E9204A"/>
    <w:rsid w:val="00E92563"/>
    <w:rsid w:val="00E92624"/>
    <w:rsid w:val="00E9303B"/>
    <w:rsid w:val="00E93370"/>
    <w:rsid w:val="00E939C4"/>
    <w:rsid w:val="00E93D80"/>
    <w:rsid w:val="00E94BD5"/>
    <w:rsid w:val="00E9504A"/>
    <w:rsid w:val="00E959A6"/>
    <w:rsid w:val="00E9675D"/>
    <w:rsid w:val="00EA1D7E"/>
    <w:rsid w:val="00EA2AE2"/>
    <w:rsid w:val="00EA47D4"/>
    <w:rsid w:val="00EA5382"/>
    <w:rsid w:val="00EA5603"/>
    <w:rsid w:val="00EA62C4"/>
    <w:rsid w:val="00EA67E1"/>
    <w:rsid w:val="00EA6AC5"/>
    <w:rsid w:val="00EA6D37"/>
    <w:rsid w:val="00EA7AEE"/>
    <w:rsid w:val="00EB0005"/>
    <w:rsid w:val="00EB0175"/>
    <w:rsid w:val="00EB180C"/>
    <w:rsid w:val="00EB1A95"/>
    <w:rsid w:val="00EB1B05"/>
    <w:rsid w:val="00EB28AE"/>
    <w:rsid w:val="00EB6085"/>
    <w:rsid w:val="00EC161C"/>
    <w:rsid w:val="00EC170F"/>
    <w:rsid w:val="00EC2100"/>
    <w:rsid w:val="00EC281A"/>
    <w:rsid w:val="00EC2C4E"/>
    <w:rsid w:val="00EC2FF1"/>
    <w:rsid w:val="00EC3B94"/>
    <w:rsid w:val="00EC3F53"/>
    <w:rsid w:val="00EC450A"/>
    <w:rsid w:val="00EC46B7"/>
    <w:rsid w:val="00EC4B10"/>
    <w:rsid w:val="00EC661E"/>
    <w:rsid w:val="00EC6CB9"/>
    <w:rsid w:val="00EC7676"/>
    <w:rsid w:val="00EC7A2D"/>
    <w:rsid w:val="00ED0830"/>
    <w:rsid w:val="00ED0B0E"/>
    <w:rsid w:val="00ED1A0B"/>
    <w:rsid w:val="00ED3F0B"/>
    <w:rsid w:val="00ED574E"/>
    <w:rsid w:val="00ED5D2F"/>
    <w:rsid w:val="00ED6A8B"/>
    <w:rsid w:val="00ED6BF3"/>
    <w:rsid w:val="00ED6EB4"/>
    <w:rsid w:val="00ED7C80"/>
    <w:rsid w:val="00ED7DB0"/>
    <w:rsid w:val="00EE57AA"/>
    <w:rsid w:val="00EE59C2"/>
    <w:rsid w:val="00EE6885"/>
    <w:rsid w:val="00EE7D16"/>
    <w:rsid w:val="00EF0BF9"/>
    <w:rsid w:val="00EF1419"/>
    <w:rsid w:val="00EF1C55"/>
    <w:rsid w:val="00EF407C"/>
    <w:rsid w:val="00EF5108"/>
    <w:rsid w:val="00EF72BD"/>
    <w:rsid w:val="00EF7BC0"/>
    <w:rsid w:val="00F007B1"/>
    <w:rsid w:val="00F00C05"/>
    <w:rsid w:val="00F01A05"/>
    <w:rsid w:val="00F03473"/>
    <w:rsid w:val="00F03FF7"/>
    <w:rsid w:val="00F04D2E"/>
    <w:rsid w:val="00F063D0"/>
    <w:rsid w:val="00F063FE"/>
    <w:rsid w:val="00F06E2D"/>
    <w:rsid w:val="00F06EF8"/>
    <w:rsid w:val="00F07CAF"/>
    <w:rsid w:val="00F104B9"/>
    <w:rsid w:val="00F10E56"/>
    <w:rsid w:val="00F11A31"/>
    <w:rsid w:val="00F126C3"/>
    <w:rsid w:val="00F139E9"/>
    <w:rsid w:val="00F140CE"/>
    <w:rsid w:val="00F141D7"/>
    <w:rsid w:val="00F14ACD"/>
    <w:rsid w:val="00F14D9B"/>
    <w:rsid w:val="00F1635F"/>
    <w:rsid w:val="00F17A29"/>
    <w:rsid w:val="00F2191C"/>
    <w:rsid w:val="00F21A5C"/>
    <w:rsid w:val="00F222FE"/>
    <w:rsid w:val="00F224D0"/>
    <w:rsid w:val="00F2412D"/>
    <w:rsid w:val="00F24A2A"/>
    <w:rsid w:val="00F32074"/>
    <w:rsid w:val="00F32115"/>
    <w:rsid w:val="00F33A9F"/>
    <w:rsid w:val="00F402DB"/>
    <w:rsid w:val="00F40501"/>
    <w:rsid w:val="00F41331"/>
    <w:rsid w:val="00F42533"/>
    <w:rsid w:val="00F4265A"/>
    <w:rsid w:val="00F43503"/>
    <w:rsid w:val="00F436DC"/>
    <w:rsid w:val="00F43FE7"/>
    <w:rsid w:val="00F4430B"/>
    <w:rsid w:val="00F44F27"/>
    <w:rsid w:val="00F46437"/>
    <w:rsid w:val="00F46B0B"/>
    <w:rsid w:val="00F46E36"/>
    <w:rsid w:val="00F509CA"/>
    <w:rsid w:val="00F51BB3"/>
    <w:rsid w:val="00F549DB"/>
    <w:rsid w:val="00F56465"/>
    <w:rsid w:val="00F56774"/>
    <w:rsid w:val="00F56B33"/>
    <w:rsid w:val="00F600A4"/>
    <w:rsid w:val="00F60A8A"/>
    <w:rsid w:val="00F60C65"/>
    <w:rsid w:val="00F6128D"/>
    <w:rsid w:val="00F61E1D"/>
    <w:rsid w:val="00F62CFF"/>
    <w:rsid w:val="00F63365"/>
    <w:rsid w:val="00F638F1"/>
    <w:rsid w:val="00F63B9B"/>
    <w:rsid w:val="00F6415F"/>
    <w:rsid w:val="00F6598B"/>
    <w:rsid w:val="00F65D3E"/>
    <w:rsid w:val="00F65F18"/>
    <w:rsid w:val="00F67EA1"/>
    <w:rsid w:val="00F70B12"/>
    <w:rsid w:val="00F71F35"/>
    <w:rsid w:val="00F72821"/>
    <w:rsid w:val="00F74175"/>
    <w:rsid w:val="00F74FF1"/>
    <w:rsid w:val="00F7734F"/>
    <w:rsid w:val="00F80171"/>
    <w:rsid w:val="00F80F4A"/>
    <w:rsid w:val="00F8113B"/>
    <w:rsid w:val="00F8169A"/>
    <w:rsid w:val="00F81842"/>
    <w:rsid w:val="00F81C0C"/>
    <w:rsid w:val="00F82840"/>
    <w:rsid w:val="00F83C75"/>
    <w:rsid w:val="00F83C7B"/>
    <w:rsid w:val="00F841D1"/>
    <w:rsid w:val="00F84EC7"/>
    <w:rsid w:val="00F86E3C"/>
    <w:rsid w:val="00F8784B"/>
    <w:rsid w:val="00F87C98"/>
    <w:rsid w:val="00F87D0E"/>
    <w:rsid w:val="00F9187C"/>
    <w:rsid w:val="00F91B84"/>
    <w:rsid w:val="00F92FF1"/>
    <w:rsid w:val="00F93B68"/>
    <w:rsid w:val="00F955C2"/>
    <w:rsid w:val="00F9618D"/>
    <w:rsid w:val="00FA0367"/>
    <w:rsid w:val="00FA078F"/>
    <w:rsid w:val="00FA083D"/>
    <w:rsid w:val="00FA1B83"/>
    <w:rsid w:val="00FA2F9A"/>
    <w:rsid w:val="00FA5A48"/>
    <w:rsid w:val="00FA5B43"/>
    <w:rsid w:val="00FA63AF"/>
    <w:rsid w:val="00FA6A35"/>
    <w:rsid w:val="00FA6F6C"/>
    <w:rsid w:val="00FA7137"/>
    <w:rsid w:val="00FA7B49"/>
    <w:rsid w:val="00FB0E1F"/>
    <w:rsid w:val="00FB298F"/>
    <w:rsid w:val="00FB516C"/>
    <w:rsid w:val="00FB5850"/>
    <w:rsid w:val="00FB58F4"/>
    <w:rsid w:val="00FB6DED"/>
    <w:rsid w:val="00FB74FD"/>
    <w:rsid w:val="00FB7513"/>
    <w:rsid w:val="00FB7DC1"/>
    <w:rsid w:val="00FC0A85"/>
    <w:rsid w:val="00FC0B1B"/>
    <w:rsid w:val="00FC0F44"/>
    <w:rsid w:val="00FC1265"/>
    <w:rsid w:val="00FC2306"/>
    <w:rsid w:val="00FC2783"/>
    <w:rsid w:val="00FC3183"/>
    <w:rsid w:val="00FC64BD"/>
    <w:rsid w:val="00FC7855"/>
    <w:rsid w:val="00FC7BCB"/>
    <w:rsid w:val="00FC7CDB"/>
    <w:rsid w:val="00FD0233"/>
    <w:rsid w:val="00FD0D7E"/>
    <w:rsid w:val="00FD1474"/>
    <w:rsid w:val="00FD1480"/>
    <w:rsid w:val="00FD1E50"/>
    <w:rsid w:val="00FD3B80"/>
    <w:rsid w:val="00FD4E82"/>
    <w:rsid w:val="00FD4FA2"/>
    <w:rsid w:val="00FD568C"/>
    <w:rsid w:val="00FD5D3E"/>
    <w:rsid w:val="00FD60F3"/>
    <w:rsid w:val="00FE08BA"/>
    <w:rsid w:val="00FE13E4"/>
    <w:rsid w:val="00FE2560"/>
    <w:rsid w:val="00FE36E3"/>
    <w:rsid w:val="00FE37B6"/>
    <w:rsid w:val="00FE3AA5"/>
    <w:rsid w:val="00FE3B16"/>
    <w:rsid w:val="00FE432B"/>
    <w:rsid w:val="00FE47B4"/>
    <w:rsid w:val="00FE4D9F"/>
    <w:rsid w:val="00FE5378"/>
    <w:rsid w:val="00FE5673"/>
    <w:rsid w:val="00FE5B47"/>
    <w:rsid w:val="00FE5F3E"/>
    <w:rsid w:val="00FE6349"/>
    <w:rsid w:val="00FE66AB"/>
    <w:rsid w:val="00FE6AFD"/>
    <w:rsid w:val="00FE7FEA"/>
    <w:rsid w:val="00FF058B"/>
    <w:rsid w:val="00FF1BAD"/>
    <w:rsid w:val="00FF1ECE"/>
    <w:rsid w:val="00FF347F"/>
    <w:rsid w:val="00FF6996"/>
    <w:rsid w:val="00FF72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D0D30"/>
  <w15:docId w15:val="{3C558FE6-E7F9-41F3-9EEF-A6ACC105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68"/>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69"/>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5702"/>
    <w:pPr>
      <w:widowControl w:val="0"/>
      <w:spacing w:line="360" w:lineRule="auto"/>
      <w:jc w:val="both"/>
    </w:pPr>
    <w:rPr>
      <w:sz w:val="24"/>
      <w:szCs w:val="24"/>
    </w:rPr>
  </w:style>
  <w:style w:type="paragraph" w:styleId="Ttulo1">
    <w:name w:val="heading 1"/>
    <w:basedOn w:val="Normal"/>
    <w:next w:val="Normal"/>
    <w:link w:val="Ttulo1Char"/>
    <w:uiPriority w:val="9"/>
    <w:qFormat/>
    <w:rsid w:val="007A5311"/>
    <w:pPr>
      <w:spacing w:before="240" w:after="60"/>
      <w:outlineLvl w:val="0"/>
    </w:pPr>
    <w:rPr>
      <w:b/>
      <w:caps/>
      <w:lang w:val="x-none" w:eastAsia="x-none"/>
    </w:rPr>
  </w:style>
  <w:style w:type="paragraph" w:styleId="Ttulo2">
    <w:name w:val="heading 2"/>
    <w:basedOn w:val="Normal"/>
    <w:next w:val="Normal"/>
    <w:link w:val="Ttulo2Char"/>
    <w:uiPriority w:val="9"/>
    <w:qFormat/>
    <w:rsid w:val="005851EF"/>
    <w:pPr>
      <w:keepNext/>
      <w:spacing w:before="240" w:after="60"/>
      <w:outlineLvl w:val="1"/>
    </w:pPr>
    <w:rPr>
      <w:rFonts w:cs="Arial"/>
      <w:bCs/>
      <w:iCs/>
      <w:caps/>
    </w:rPr>
  </w:style>
  <w:style w:type="paragraph" w:styleId="Ttulo3">
    <w:name w:val="heading 3"/>
    <w:basedOn w:val="Normal"/>
    <w:next w:val="Normal"/>
    <w:link w:val="Ttulo3Char"/>
    <w:uiPriority w:val="9"/>
    <w:qFormat/>
    <w:rsid w:val="005851EF"/>
    <w:pPr>
      <w:keepNext/>
      <w:spacing w:before="240" w:after="60"/>
      <w:outlineLvl w:val="2"/>
    </w:pPr>
    <w:rPr>
      <w:rFonts w:cs="Arial"/>
      <w:b/>
      <w:bCs/>
    </w:rPr>
  </w:style>
  <w:style w:type="paragraph" w:styleId="Ttulo4">
    <w:name w:val="heading 4"/>
    <w:basedOn w:val="Normal"/>
    <w:next w:val="Normal"/>
    <w:link w:val="Ttulo4Char"/>
    <w:uiPriority w:val="9"/>
    <w:qFormat/>
    <w:rsid w:val="00711954"/>
    <w:pPr>
      <w:keepNext/>
      <w:spacing w:before="240" w:after="60"/>
      <w:outlineLvl w:val="3"/>
    </w:pPr>
    <w:rPr>
      <w:bCs/>
    </w:rPr>
  </w:style>
  <w:style w:type="paragraph" w:styleId="Ttulo5">
    <w:name w:val="heading 5"/>
    <w:basedOn w:val="Normal"/>
    <w:next w:val="Normal"/>
    <w:qFormat/>
    <w:rsid w:val="00E679BC"/>
    <w:pPr>
      <w:spacing w:before="240" w:after="60"/>
      <w:outlineLvl w:val="4"/>
    </w:pPr>
    <w:rPr>
      <w:bCs/>
      <w:i/>
      <w:iCs/>
    </w:rPr>
  </w:style>
  <w:style w:type="paragraph" w:styleId="Ttulo6">
    <w:name w:val="heading 6"/>
    <w:basedOn w:val="Normal"/>
    <w:next w:val="Normal"/>
    <w:link w:val="Ttulo6Char"/>
    <w:qFormat/>
    <w:rsid w:val="006E331A"/>
    <w:pPr>
      <w:spacing w:before="240" w:after="60"/>
      <w:outlineLvl w:val="5"/>
    </w:pPr>
    <w:rPr>
      <w:b/>
      <w:bCs/>
      <w:sz w:val="22"/>
      <w:szCs w:val="22"/>
    </w:rPr>
  </w:style>
  <w:style w:type="paragraph" w:styleId="Ttulo7">
    <w:name w:val="heading 7"/>
    <w:basedOn w:val="Normal"/>
    <w:next w:val="Normal"/>
    <w:qFormat/>
    <w:rsid w:val="00B03BCF"/>
    <w:pPr>
      <w:spacing w:line="240" w:lineRule="auto"/>
      <w:jc w:val="center"/>
      <w:outlineLvl w:val="6"/>
    </w:pPr>
    <w:rPr>
      <w:b/>
      <w:bCs/>
      <w:caps/>
      <w:sz w:val="28"/>
      <w:szCs w:val="28"/>
      <w:lang w:eastAsia="zh-CN"/>
    </w:rPr>
  </w:style>
  <w:style w:type="paragraph" w:styleId="Ttulo8">
    <w:name w:val="heading 8"/>
    <w:basedOn w:val="Normal"/>
    <w:next w:val="Normal"/>
    <w:qFormat/>
    <w:rsid w:val="00B03BCF"/>
    <w:pPr>
      <w:keepNext/>
      <w:widowControl/>
      <w:autoSpaceDE w:val="0"/>
      <w:autoSpaceDN w:val="0"/>
      <w:spacing w:line="240" w:lineRule="auto"/>
      <w:outlineLvl w:val="7"/>
    </w:pPr>
    <w:rPr>
      <w:b/>
      <w:bCs/>
      <w:lang w:eastAsia="zh-CN"/>
    </w:rPr>
  </w:style>
  <w:style w:type="paragraph" w:styleId="Ttulo9">
    <w:name w:val="heading 9"/>
    <w:basedOn w:val="Normal"/>
    <w:next w:val="Normal"/>
    <w:qFormat/>
    <w:rsid w:val="00B03BCF"/>
    <w:pPr>
      <w:spacing w:line="240" w:lineRule="auto"/>
      <w:outlineLvl w:val="8"/>
    </w:pPr>
    <w:rPr>
      <w:b/>
      <w:bCs/>
      <w:u w:val="single"/>
      <w:lang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76659D"/>
    <w:rPr>
      <w:b/>
      <w:caps/>
      <w:sz w:val="24"/>
      <w:szCs w:val="24"/>
    </w:rPr>
  </w:style>
  <w:style w:type="character" w:customStyle="1" w:styleId="Ttulo2Char">
    <w:name w:val="Título 2 Char"/>
    <w:link w:val="Ttulo2"/>
    <w:uiPriority w:val="9"/>
    <w:rsid w:val="00284E1F"/>
    <w:rPr>
      <w:rFonts w:cs="Arial"/>
      <w:bCs/>
      <w:iCs/>
      <w:caps/>
      <w:sz w:val="24"/>
      <w:szCs w:val="24"/>
    </w:rPr>
  </w:style>
  <w:style w:type="character" w:customStyle="1" w:styleId="Ttulo3Char">
    <w:name w:val="Título 3 Char"/>
    <w:link w:val="Ttulo3"/>
    <w:uiPriority w:val="9"/>
    <w:locked/>
    <w:rsid w:val="0020763F"/>
    <w:rPr>
      <w:rFonts w:cs="Arial"/>
      <w:b/>
      <w:bCs/>
      <w:sz w:val="24"/>
      <w:szCs w:val="24"/>
    </w:rPr>
  </w:style>
  <w:style w:type="character" w:customStyle="1" w:styleId="Ttulo4Char">
    <w:name w:val="Título 4 Char"/>
    <w:link w:val="Ttulo4"/>
    <w:uiPriority w:val="9"/>
    <w:rsid w:val="00711954"/>
    <w:rPr>
      <w:bCs/>
      <w:sz w:val="24"/>
      <w:szCs w:val="24"/>
      <w:lang w:val="pt-BR" w:eastAsia="pt-BR" w:bidi="ar-SA"/>
    </w:rPr>
  </w:style>
  <w:style w:type="paragraph" w:styleId="Cabealho">
    <w:name w:val="header"/>
    <w:basedOn w:val="Normal"/>
    <w:link w:val="CabealhoChar"/>
    <w:uiPriority w:val="99"/>
    <w:rsid w:val="0035296C"/>
    <w:pPr>
      <w:tabs>
        <w:tab w:val="center" w:pos="4419"/>
        <w:tab w:val="right" w:pos="8838"/>
      </w:tabs>
    </w:pPr>
  </w:style>
  <w:style w:type="character" w:customStyle="1" w:styleId="CabealhoChar">
    <w:name w:val="Cabeçalho Char"/>
    <w:link w:val="Cabealho"/>
    <w:uiPriority w:val="99"/>
    <w:rsid w:val="00AC2243"/>
    <w:rPr>
      <w:sz w:val="24"/>
      <w:szCs w:val="24"/>
      <w:lang w:val="pt-BR" w:eastAsia="pt-BR" w:bidi="ar-SA"/>
    </w:rPr>
  </w:style>
  <w:style w:type="character" w:styleId="Nmerodepgina">
    <w:name w:val="page number"/>
    <w:rsid w:val="0035296C"/>
    <w:rPr>
      <w:rFonts w:ascii="Times New Roman" w:hAnsi="Times New Roman"/>
      <w:sz w:val="20"/>
    </w:rPr>
  </w:style>
  <w:style w:type="paragraph" w:styleId="Ttulo">
    <w:name w:val="Title"/>
    <w:basedOn w:val="Normal"/>
    <w:link w:val="TtuloChar"/>
    <w:qFormat/>
    <w:rsid w:val="0035296C"/>
    <w:pPr>
      <w:spacing w:line="240" w:lineRule="auto"/>
      <w:jc w:val="center"/>
    </w:pPr>
    <w:rPr>
      <w:b/>
      <w:caps/>
      <w:lang w:val="pt-PT"/>
    </w:rPr>
  </w:style>
  <w:style w:type="paragraph" w:customStyle="1" w:styleId="autores">
    <w:name w:val="autores"/>
    <w:basedOn w:val="Normal"/>
    <w:rsid w:val="00960F35"/>
    <w:pPr>
      <w:spacing w:line="240" w:lineRule="auto"/>
      <w:jc w:val="right"/>
    </w:pPr>
    <w:rPr>
      <w:i/>
    </w:rPr>
  </w:style>
  <w:style w:type="paragraph" w:customStyle="1" w:styleId="Resumo">
    <w:name w:val="Resumo"/>
    <w:basedOn w:val="Normal"/>
    <w:next w:val="Normal"/>
    <w:rsid w:val="0035296C"/>
    <w:pPr>
      <w:spacing w:line="240" w:lineRule="auto"/>
    </w:pPr>
    <w:rPr>
      <w:sz w:val="20"/>
    </w:rPr>
  </w:style>
  <w:style w:type="paragraph" w:styleId="Citao">
    <w:name w:val="Quote"/>
    <w:basedOn w:val="Normal"/>
    <w:next w:val="Normal"/>
    <w:link w:val="CitaoChar"/>
    <w:uiPriority w:val="99"/>
    <w:qFormat/>
    <w:rsid w:val="00281117"/>
    <w:pPr>
      <w:spacing w:before="120" w:after="240" w:line="240" w:lineRule="auto"/>
      <w:ind w:left="2268"/>
    </w:pPr>
    <w:rPr>
      <w:sz w:val="20"/>
    </w:rPr>
  </w:style>
  <w:style w:type="character" w:customStyle="1" w:styleId="CitaoChar">
    <w:name w:val="Citação Char"/>
    <w:link w:val="Citao"/>
    <w:uiPriority w:val="99"/>
    <w:locked/>
    <w:rsid w:val="00E65841"/>
    <w:rPr>
      <w:szCs w:val="24"/>
    </w:rPr>
  </w:style>
  <w:style w:type="paragraph" w:customStyle="1" w:styleId="commarcadornonumerado">
    <w:name w:val="com marcador(não numerado)"/>
    <w:basedOn w:val="Normal"/>
    <w:uiPriority w:val="99"/>
    <w:rsid w:val="00281117"/>
    <w:pPr>
      <w:numPr>
        <w:numId w:val="1"/>
      </w:numPr>
      <w:tabs>
        <w:tab w:val="left" w:pos="1066"/>
      </w:tabs>
    </w:pPr>
  </w:style>
  <w:style w:type="paragraph" w:customStyle="1" w:styleId="commarcadornumerado">
    <w:name w:val="com marcador numerado"/>
    <w:basedOn w:val="Normal"/>
    <w:link w:val="commarcadornumeradoChar"/>
    <w:rsid w:val="00E36B5B"/>
    <w:pPr>
      <w:numPr>
        <w:numId w:val="2"/>
      </w:numPr>
      <w:tabs>
        <w:tab w:val="left" w:pos="1066"/>
      </w:tabs>
    </w:pPr>
    <w:rPr>
      <w:lang w:val="x-none" w:eastAsia="x-none"/>
    </w:rPr>
  </w:style>
  <w:style w:type="character" w:customStyle="1" w:styleId="commarcadornumeradoChar">
    <w:name w:val="com marcador numerado Char"/>
    <w:link w:val="commarcadornumerado"/>
    <w:rsid w:val="00E36B5B"/>
    <w:rPr>
      <w:sz w:val="24"/>
      <w:szCs w:val="24"/>
      <w:lang w:val="x-none" w:eastAsia="x-none"/>
    </w:rPr>
  </w:style>
  <w:style w:type="paragraph" w:customStyle="1" w:styleId="MARCADORSEQNUM">
    <w:name w:val="MARCADORSEQNUM"/>
    <w:basedOn w:val="Normal"/>
    <w:rsid w:val="00281117"/>
    <w:pPr>
      <w:numPr>
        <w:numId w:val="3"/>
      </w:numPr>
      <w:ind w:left="1066" w:hanging="357"/>
    </w:pPr>
  </w:style>
  <w:style w:type="paragraph" w:customStyle="1" w:styleId="Palavraschaves">
    <w:name w:val="Palavraschaves"/>
    <w:basedOn w:val="Normal"/>
    <w:next w:val="Normal"/>
    <w:rsid w:val="006E331A"/>
    <w:pPr>
      <w:spacing w:before="480" w:after="240" w:line="240" w:lineRule="auto"/>
    </w:pPr>
  </w:style>
  <w:style w:type="paragraph" w:customStyle="1" w:styleId="bibliografia">
    <w:name w:val="bibliografia"/>
    <w:basedOn w:val="Normal"/>
    <w:link w:val="bibliografiaChar"/>
    <w:uiPriority w:val="99"/>
    <w:rsid w:val="006E331A"/>
    <w:pPr>
      <w:spacing w:after="180" w:line="240" w:lineRule="auto"/>
      <w:jc w:val="left"/>
    </w:pPr>
  </w:style>
  <w:style w:type="character" w:customStyle="1" w:styleId="bibliografiaChar">
    <w:name w:val="bibliografia Char"/>
    <w:link w:val="bibliografia"/>
    <w:uiPriority w:val="99"/>
    <w:locked/>
    <w:rsid w:val="00E65841"/>
    <w:rPr>
      <w:sz w:val="24"/>
      <w:szCs w:val="24"/>
    </w:rPr>
  </w:style>
  <w:style w:type="paragraph" w:styleId="Legenda">
    <w:name w:val="caption"/>
    <w:basedOn w:val="Normal"/>
    <w:next w:val="Normal"/>
    <w:link w:val="LegendaChar"/>
    <w:uiPriority w:val="35"/>
    <w:qFormat/>
    <w:rsid w:val="00EA62C4"/>
    <w:pPr>
      <w:spacing w:line="240" w:lineRule="auto"/>
    </w:pPr>
    <w:rPr>
      <w:b/>
      <w:bCs/>
      <w:lang w:val="en-US" w:eastAsia="en-US"/>
    </w:rPr>
  </w:style>
  <w:style w:type="character" w:customStyle="1" w:styleId="LegendaChar">
    <w:name w:val="Legenda Char"/>
    <w:link w:val="Legenda"/>
    <w:rsid w:val="00BD13AA"/>
    <w:rPr>
      <w:b/>
      <w:bCs/>
      <w:sz w:val="24"/>
      <w:szCs w:val="24"/>
      <w:lang w:val="en-US" w:eastAsia="en-US" w:bidi="ar-SA"/>
    </w:rPr>
  </w:style>
  <w:style w:type="paragraph" w:customStyle="1" w:styleId="EstiloLegendaNoNegrito">
    <w:name w:val="Estilo Legenda + Não Negrito"/>
    <w:basedOn w:val="Legenda"/>
    <w:rsid w:val="00BD13AA"/>
    <w:rPr>
      <w:b w:val="0"/>
      <w:bCs w:val="0"/>
    </w:rPr>
  </w:style>
  <w:style w:type="paragraph" w:customStyle="1" w:styleId="EstiloLegendaNoNegrito1">
    <w:name w:val="Estilo Legenda + Não Negrito1"/>
    <w:basedOn w:val="Legenda"/>
    <w:link w:val="EstiloLegendaNoNegrito1Char"/>
    <w:rsid w:val="00BD13AA"/>
    <w:rPr>
      <w:b w:val="0"/>
      <w:bCs w:val="0"/>
    </w:rPr>
  </w:style>
  <w:style w:type="character" w:customStyle="1" w:styleId="EstiloLegendaNoNegrito1Char">
    <w:name w:val="Estilo Legenda + Não Negrito1 Char"/>
    <w:basedOn w:val="LegendaChar"/>
    <w:link w:val="EstiloLegendaNoNegrito1"/>
    <w:rsid w:val="00BD13AA"/>
    <w:rPr>
      <w:b/>
      <w:bCs/>
      <w:sz w:val="24"/>
      <w:szCs w:val="24"/>
      <w:lang w:val="en-US" w:eastAsia="en-US" w:bidi="ar-SA"/>
    </w:rPr>
  </w:style>
  <w:style w:type="paragraph" w:customStyle="1" w:styleId="referncias">
    <w:name w:val="referências"/>
    <w:basedOn w:val="Normal"/>
    <w:rsid w:val="00095A55"/>
    <w:pPr>
      <w:spacing w:after="240" w:line="240" w:lineRule="auto"/>
      <w:jc w:val="left"/>
    </w:pPr>
    <w:rPr>
      <w:lang w:val="en-US" w:eastAsia="en-US"/>
    </w:rPr>
  </w:style>
  <w:style w:type="paragraph" w:styleId="Textodenotaderodap">
    <w:name w:val="footnote text"/>
    <w:basedOn w:val="Normal"/>
    <w:link w:val="TextodenotaderodapChar"/>
    <w:uiPriority w:val="99"/>
    <w:rsid w:val="00B03BCF"/>
    <w:pPr>
      <w:spacing w:line="240" w:lineRule="auto"/>
    </w:pPr>
    <w:rPr>
      <w:sz w:val="20"/>
      <w:szCs w:val="20"/>
      <w:lang w:val="x-none" w:eastAsia="zh-CN"/>
    </w:rPr>
  </w:style>
  <w:style w:type="character" w:customStyle="1" w:styleId="TextodenotaderodapChar">
    <w:name w:val="Texto de nota de rodapé Char"/>
    <w:link w:val="Textodenotaderodap"/>
    <w:uiPriority w:val="99"/>
    <w:rsid w:val="00F2412D"/>
    <w:rPr>
      <w:lang w:eastAsia="zh-CN"/>
    </w:rPr>
  </w:style>
  <w:style w:type="paragraph" w:styleId="Recuodecorpodetexto">
    <w:name w:val="Body Text Indent"/>
    <w:basedOn w:val="Normal"/>
    <w:link w:val="RecuodecorpodetextoChar"/>
    <w:rsid w:val="00B03BCF"/>
    <w:pPr>
      <w:spacing w:line="240" w:lineRule="auto"/>
    </w:pPr>
    <w:rPr>
      <w:lang w:val="x-none" w:eastAsia="zh-CN"/>
    </w:rPr>
  </w:style>
  <w:style w:type="character" w:customStyle="1" w:styleId="RecuodecorpodetextoChar">
    <w:name w:val="Recuo de corpo de texto Char"/>
    <w:link w:val="Recuodecorpodetexto"/>
    <w:rsid w:val="00F2412D"/>
    <w:rPr>
      <w:sz w:val="24"/>
      <w:szCs w:val="24"/>
      <w:lang w:eastAsia="zh-CN"/>
    </w:rPr>
  </w:style>
  <w:style w:type="paragraph" w:styleId="Recuodecorpodetexto2">
    <w:name w:val="Body Text Indent 2"/>
    <w:basedOn w:val="Normal"/>
    <w:link w:val="Recuodecorpodetexto2Char"/>
    <w:rsid w:val="00B03BCF"/>
    <w:pPr>
      <w:spacing w:line="240" w:lineRule="auto"/>
      <w:ind w:left="1069"/>
    </w:pPr>
    <w:rPr>
      <w:lang w:eastAsia="zh-CN"/>
    </w:rPr>
  </w:style>
  <w:style w:type="character" w:styleId="Refdenotaderodap">
    <w:name w:val="footnote reference"/>
    <w:uiPriority w:val="99"/>
    <w:rsid w:val="00B03BCF"/>
    <w:rPr>
      <w:vertAlign w:val="superscript"/>
    </w:rPr>
  </w:style>
  <w:style w:type="paragraph" w:styleId="Rodap">
    <w:name w:val="footer"/>
    <w:basedOn w:val="Normal"/>
    <w:link w:val="RodapChar"/>
    <w:uiPriority w:val="99"/>
    <w:rsid w:val="00B03BCF"/>
    <w:pPr>
      <w:tabs>
        <w:tab w:val="center" w:pos="4419"/>
        <w:tab w:val="right" w:pos="8838"/>
      </w:tabs>
      <w:spacing w:line="240" w:lineRule="auto"/>
    </w:pPr>
    <w:rPr>
      <w:lang w:val="x-none" w:eastAsia="zh-CN"/>
    </w:rPr>
  </w:style>
  <w:style w:type="character" w:customStyle="1" w:styleId="RodapChar">
    <w:name w:val="Rodapé Char"/>
    <w:link w:val="Rodap"/>
    <w:uiPriority w:val="99"/>
    <w:rsid w:val="00B24019"/>
    <w:rPr>
      <w:sz w:val="24"/>
      <w:szCs w:val="24"/>
      <w:lang w:eastAsia="zh-CN"/>
    </w:rPr>
  </w:style>
  <w:style w:type="paragraph" w:styleId="Corpodetexto">
    <w:name w:val="Body Text"/>
    <w:basedOn w:val="Normal"/>
    <w:link w:val="CorpodetextoChar"/>
    <w:uiPriority w:val="1"/>
    <w:qFormat/>
    <w:rsid w:val="00B03BCF"/>
    <w:pPr>
      <w:spacing w:line="240" w:lineRule="auto"/>
    </w:pPr>
    <w:rPr>
      <w:lang w:val="x-none" w:eastAsia="zh-CN"/>
    </w:rPr>
  </w:style>
  <w:style w:type="character" w:customStyle="1" w:styleId="CorpodetextoChar">
    <w:name w:val="Corpo de texto Char"/>
    <w:link w:val="Corpodetexto"/>
    <w:uiPriority w:val="1"/>
    <w:rsid w:val="0019132B"/>
    <w:rPr>
      <w:sz w:val="24"/>
      <w:szCs w:val="24"/>
      <w:lang w:eastAsia="zh-CN"/>
    </w:rPr>
  </w:style>
  <w:style w:type="paragraph" w:customStyle="1" w:styleId="EstilocommarcadornumeradoNegrito">
    <w:name w:val="Estilo com marcador numerado + Negrito"/>
    <w:basedOn w:val="commarcadornumerado"/>
    <w:link w:val="EstilocommarcadornumeradoNegritoChar"/>
    <w:rsid w:val="00E36B5B"/>
    <w:rPr>
      <w:b/>
      <w:bCs/>
    </w:rPr>
  </w:style>
  <w:style w:type="character" w:customStyle="1" w:styleId="EstilocommarcadornumeradoNegritoChar">
    <w:name w:val="Estilo com marcador numerado + Negrito Char"/>
    <w:link w:val="EstilocommarcadornumeradoNegrito"/>
    <w:rsid w:val="00E36B5B"/>
    <w:rPr>
      <w:b/>
      <w:bCs/>
      <w:sz w:val="24"/>
      <w:szCs w:val="24"/>
      <w:lang w:val="x-none" w:eastAsia="x-none"/>
    </w:rPr>
  </w:style>
  <w:style w:type="paragraph" w:customStyle="1" w:styleId="pr-textual">
    <w:name w:val="pré-textual"/>
    <w:basedOn w:val="Normal"/>
    <w:next w:val="Normal"/>
    <w:rsid w:val="00593AFD"/>
    <w:pPr>
      <w:spacing w:before="1644" w:after="1021"/>
      <w:jc w:val="center"/>
    </w:pPr>
    <w:rPr>
      <w:b/>
      <w:caps/>
      <w:sz w:val="22"/>
      <w:szCs w:val="20"/>
    </w:rPr>
  </w:style>
  <w:style w:type="paragraph" w:styleId="Commarcadores3">
    <w:name w:val="List Bullet 3"/>
    <w:basedOn w:val="Normal"/>
    <w:autoRedefine/>
    <w:rsid w:val="00593AFD"/>
    <w:pPr>
      <w:numPr>
        <w:numId w:val="4"/>
      </w:numPr>
    </w:pPr>
    <w:rPr>
      <w:sz w:val="22"/>
      <w:szCs w:val="20"/>
    </w:rPr>
  </w:style>
  <w:style w:type="paragraph" w:customStyle="1" w:styleId="cinza-11">
    <w:name w:val="cinza-11"/>
    <w:basedOn w:val="Normal"/>
    <w:rsid w:val="00593AFD"/>
    <w:pPr>
      <w:widowControl/>
      <w:spacing w:before="100" w:beforeAutospacing="1" w:after="100" w:afterAutospacing="1"/>
      <w:jc w:val="left"/>
    </w:pPr>
    <w:rPr>
      <w:rFonts w:ascii="Verdana" w:hAnsi="Verdana"/>
      <w:color w:val="5B5B5B"/>
      <w:sz w:val="17"/>
      <w:szCs w:val="17"/>
    </w:rPr>
  </w:style>
  <w:style w:type="paragraph" w:styleId="Corpodetexto2">
    <w:name w:val="Body Text 2"/>
    <w:basedOn w:val="Normal"/>
    <w:rsid w:val="00593AFD"/>
    <w:rPr>
      <w:sz w:val="22"/>
      <w:szCs w:val="22"/>
      <w:lang w:eastAsia="zh-CN"/>
    </w:rPr>
  </w:style>
  <w:style w:type="paragraph" w:styleId="Corpodetexto3">
    <w:name w:val="Body Text 3"/>
    <w:basedOn w:val="Normal"/>
    <w:rsid w:val="00593AFD"/>
    <w:pPr>
      <w:spacing w:after="120"/>
    </w:pPr>
    <w:rPr>
      <w:sz w:val="16"/>
      <w:szCs w:val="16"/>
    </w:rPr>
  </w:style>
  <w:style w:type="paragraph" w:customStyle="1" w:styleId="EstiloLegendaUsarfonteparatextoasiticoLatim9pt">
    <w:name w:val="Estilo Legenda + (Usar fonte para texto asiático (Latim) 9 pt"/>
    <w:basedOn w:val="Legenda"/>
    <w:rsid w:val="00593AFD"/>
    <w:rPr>
      <w:rFonts w:ascii="(Usar fonte para texto asiático" w:hAnsi="(Usar fonte para texto asiático"/>
      <w:b w:val="0"/>
      <w:bCs w:val="0"/>
      <w:sz w:val="18"/>
      <w:szCs w:val="20"/>
      <w:lang w:val="pt-BR" w:eastAsia="pt-BR"/>
    </w:rPr>
  </w:style>
  <w:style w:type="character" w:customStyle="1" w:styleId="EstiloLegendaUsarfonteparatextoasiticoLatim9ptChar">
    <w:name w:val="Estilo Legenda + (Usar fonte para texto asiático (Latim) 9 pt Char"/>
    <w:rsid w:val="00593AFD"/>
    <w:rPr>
      <w:rFonts w:ascii="(Usar fonte para texto asiático" w:hAnsi="(Usar fonte para texto asiático"/>
      <w:b/>
      <w:bCs/>
      <w:sz w:val="18"/>
      <w:szCs w:val="24"/>
      <w:lang w:val="pt-BR" w:eastAsia="pt-BR" w:bidi="ar-SA"/>
    </w:rPr>
  </w:style>
  <w:style w:type="paragraph" w:customStyle="1" w:styleId="EstiloLegendaPrimeiralinha45cm">
    <w:name w:val="Estilo Legenda + Primeira linha:  45 cm"/>
    <w:basedOn w:val="Legenda"/>
    <w:rsid w:val="00593AFD"/>
    <w:pPr>
      <w:ind w:firstLine="2552"/>
    </w:pPr>
    <w:rPr>
      <w:b w:val="0"/>
      <w:bCs w:val="0"/>
      <w:sz w:val="18"/>
      <w:szCs w:val="20"/>
      <w:lang w:val="pt-BR" w:eastAsia="pt-BR"/>
    </w:rPr>
  </w:style>
  <w:style w:type="table" w:styleId="Tabelacomgrade">
    <w:name w:val="Table Grid"/>
    <w:basedOn w:val="Tabelanormal"/>
    <w:uiPriority w:val="59"/>
    <w:rsid w:val="00593AFD"/>
    <w:pPr>
      <w:widowControl w:val="0"/>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93AFD"/>
    <w:rPr>
      <w:color w:val="0000FF"/>
      <w:u w:val="single"/>
    </w:rPr>
  </w:style>
  <w:style w:type="paragraph" w:customStyle="1" w:styleId="Atividades">
    <w:name w:val="Atividades"/>
    <w:basedOn w:val="Normal"/>
    <w:next w:val="Normal"/>
    <w:rsid w:val="002D328E"/>
    <w:rPr>
      <w:b/>
      <w:caps/>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rsid w:val="003F1AA1"/>
    <w:pPr>
      <w:widowControl/>
      <w:spacing w:after="160" w:line="240" w:lineRule="exact"/>
      <w:jc w:val="left"/>
    </w:pPr>
    <w:rPr>
      <w:rFonts w:ascii="Verdana" w:hAnsi="Verdana"/>
      <w:sz w:val="20"/>
      <w:szCs w:val="20"/>
      <w:lang w:val="en-US" w:eastAsia="en-US"/>
    </w:rPr>
  </w:style>
  <w:style w:type="paragraph" w:styleId="Textodebalo">
    <w:name w:val="Balloon Text"/>
    <w:basedOn w:val="Normal"/>
    <w:link w:val="TextodebaloChar"/>
    <w:uiPriority w:val="99"/>
    <w:rsid w:val="005110E8"/>
    <w:rPr>
      <w:rFonts w:ascii="Tahoma" w:hAnsi="Tahoma" w:cs="Tahoma"/>
      <w:sz w:val="16"/>
      <w:szCs w:val="16"/>
    </w:rPr>
  </w:style>
  <w:style w:type="character" w:customStyle="1" w:styleId="TextodebaloChar">
    <w:name w:val="Texto de balão Char"/>
    <w:link w:val="Textodebalo"/>
    <w:uiPriority w:val="99"/>
    <w:rsid w:val="00284E1F"/>
    <w:rPr>
      <w:rFonts w:ascii="Tahoma" w:hAnsi="Tahoma" w:cs="Tahoma"/>
      <w:sz w:val="16"/>
      <w:szCs w:val="16"/>
    </w:rPr>
  </w:style>
  <w:style w:type="paragraph" w:customStyle="1" w:styleId="EstiloTtulo4Negrito">
    <w:name w:val="Estilo Título 4 + Negrito"/>
    <w:basedOn w:val="Ttulo4"/>
    <w:link w:val="EstiloTtulo4NegritoChar"/>
    <w:rsid w:val="00711954"/>
  </w:style>
  <w:style w:type="character" w:customStyle="1" w:styleId="EstiloTtulo4NegritoChar">
    <w:name w:val="Estilo Título 4 + Negrito Char"/>
    <w:basedOn w:val="Ttulo4Char"/>
    <w:link w:val="EstiloTtulo4Negrito"/>
    <w:rsid w:val="00711954"/>
    <w:rPr>
      <w:bCs/>
      <w:sz w:val="24"/>
      <w:szCs w:val="24"/>
      <w:lang w:val="pt-BR" w:eastAsia="pt-BR" w:bidi="ar-SA"/>
    </w:rPr>
  </w:style>
  <w:style w:type="paragraph" w:customStyle="1" w:styleId="EstiloTtulo4Negrito1">
    <w:name w:val="Estilo Título 4 + Negrito1"/>
    <w:basedOn w:val="Ttulo4"/>
    <w:link w:val="EstiloTtulo4Negrito1Char"/>
    <w:rsid w:val="00711954"/>
  </w:style>
  <w:style w:type="character" w:customStyle="1" w:styleId="EstiloTtulo4Negrito1Char">
    <w:name w:val="Estilo Título 4 + Negrito1 Char"/>
    <w:basedOn w:val="Ttulo4Char"/>
    <w:link w:val="EstiloTtulo4Negrito1"/>
    <w:rsid w:val="00711954"/>
    <w:rPr>
      <w:bCs/>
      <w:sz w:val="24"/>
      <w:szCs w:val="24"/>
      <w:lang w:val="pt-BR" w:eastAsia="pt-BR" w:bidi="ar-SA"/>
    </w:rPr>
  </w:style>
  <w:style w:type="paragraph" w:customStyle="1" w:styleId="EstiloTtulo4Negrito2">
    <w:name w:val="Estilo Título 4 + Negrito2"/>
    <w:basedOn w:val="Ttulo4"/>
    <w:link w:val="EstiloTtulo4Negrito2Char"/>
    <w:rsid w:val="00711954"/>
  </w:style>
  <w:style w:type="character" w:customStyle="1" w:styleId="EstiloTtulo4Negrito2Char">
    <w:name w:val="Estilo Título 4 + Negrito2 Char"/>
    <w:basedOn w:val="Ttulo4Char"/>
    <w:link w:val="EstiloTtulo4Negrito2"/>
    <w:rsid w:val="00711954"/>
    <w:rPr>
      <w:bCs/>
      <w:sz w:val="24"/>
      <w:szCs w:val="24"/>
      <w:lang w:val="pt-BR" w:eastAsia="pt-BR" w:bidi="ar-SA"/>
    </w:rPr>
  </w:style>
  <w:style w:type="paragraph" w:customStyle="1" w:styleId="acabecalho">
    <w:name w:val="a_cabecalho"/>
    <w:basedOn w:val="Cabealho"/>
    <w:rsid w:val="001A605B"/>
    <w:pPr>
      <w:widowControl/>
      <w:tabs>
        <w:tab w:val="clear" w:pos="4419"/>
        <w:tab w:val="clear" w:pos="8838"/>
        <w:tab w:val="right" w:pos="9072"/>
      </w:tabs>
      <w:spacing w:line="240" w:lineRule="auto"/>
      <w:jc w:val="left"/>
    </w:pPr>
    <w:rPr>
      <w:rFonts w:ascii="Aldine401 BT" w:hAnsi="Aldine401 BT"/>
      <w:b/>
      <w:sz w:val="18"/>
      <w:szCs w:val="20"/>
    </w:rPr>
  </w:style>
  <w:style w:type="paragraph" w:customStyle="1" w:styleId="aautordoartigo">
    <w:name w:val="a_autor do artigo"/>
    <w:basedOn w:val="Normal"/>
    <w:rsid w:val="001A7A01"/>
    <w:pPr>
      <w:widowControl/>
      <w:spacing w:before="360" w:after="240" w:line="240" w:lineRule="auto"/>
      <w:jc w:val="left"/>
    </w:pPr>
    <w:rPr>
      <w:rFonts w:ascii="Arial" w:hAnsi="Arial"/>
      <w:b/>
      <w:sz w:val="22"/>
      <w:szCs w:val="20"/>
    </w:rPr>
  </w:style>
  <w:style w:type="paragraph" w:customStyle="1" w:styleId="EstiloArial10ptAntes12ptEspaamentoentrelinhasPelo">
    <w:name w:val="Estilo Arial 10 pt Antes:  12 pt Espaçamento entre linhas:  Pelo ..."/>
    <w:basedOn w:val="Normal"/>
    <w:link w:val="EstiloArial10ptAntes12ptEspaamentoentrelinhasPeloChar"/>
    <w:rsid w:val="00C842BA"/>
    <w:pPr>
      <w:spacing w:before="240" w:line="240" w:lineRule="atLeast"/>
    </w:pPr>
    <w:rPr>
      <w:rFonts w:ascii="Arial" w:hAnsi="Arial"/>
      <w:sz w:val="20"/>
      <w:szCs w:val="20"/>
    </w:rPr>
  </w:style>
  <w:style w:type="character" w:customStyle="1" w:styleId="EstiloArial10ptAntes12ptEspaamentoentrelinhasPeloChar">
    <w:name w:val="Estilo Arial 10 pt Antes:  12 pt Espaçamento entre linhas:  Pelo ... Char"/>
    <w:link w:val="EstiloArial10ptAntes12ptEspaamentoentrelinhasPelo"/>
    <w:rsid w:val="00E11037"/>
    <w:rPr>
      <w:rFonts w:ascii="Arial" w:hAnsi="Arial"/>
      <w:lang w:val="pt-BR" w:eastAsia="pt-BR" w:bidi="ar-SA"/>
    </w:rPr>
  </w:style>
  <w:style w:type="paragraph" w:customStyle="1" w:styleId="Estilo1">
    <w:name w:val="Estilo1"/>
    <w:basedOn w:val="EstiloArial10ptAntes12ptEspaamentoentrelinhasPelo"/>
    <w:rsid w:val="00C842BA"/>
  </w:style>
  <w:style w:type="paragraph" w:styleId="Lista">
    <w:name w:val="List"/>
    <w:basedOn w:val="Normal"/>
    <w:rsid w:val="00E54CB9"/>
    <w:pPr>
      <w:numPr>
        <w:numId w:val="5"/>
      </w:numPr>
      <w:spacing w:before="60" w:line="240" w:lineRule="auto"/>
      <w:jc w:val="left"/>
    </w:pPr>
    <w:rPr>
      <w:lang w:val="it-IT"/>
    </w:rPr>
  </w:style>
  <w:style w:type="paragraph" w:customStyle="1" w:styleId="CitaoDireta">
    <w:name w:val="Citação Direta"/>
    <w:basedOn w:val="Normal"/>
    <w:rsid w:val="00E54CB9"/>
    <w:pPr>
      <w:widowControl/>
      <w:spacing w:line="240" w:lineRule="auto"/>
      <w:ind w:left="2268"/>
    </w:pPr>
    <w:rPr>
      <w:sz w:val="20"/>
      <w:szCs w:val="20"/>
    </w:rPr>
  </w:style>
  <w:style w:type="paragraph" w:customStyle="1" w:styleId="Captulo">
    <w:name w:val="Capítulo"/>
    <w:basedOn w:val="Normal"/>
    <w:next w:val="Corpodetexto"/>
    <w:link w:val="CaptuloChar"/>
    <w:rsid w:val="0071567F"/>
    <w:pPr>
      <w:keepNext/>
      <w:widowControl/>
      <w:suppressAutoHyphens/>
      <w:spacing w:before="240" w:after="283" w:line="240" w:lineRule="auto"/>
      <w:jc w:val="left"/>
    </w:pPr>
    <w:rPr>
      <w:rFonts w:ascii="Arial" w:eastAsia="MS Mincho" w:hAnsi="Arial" w:cs="Tahoma"/>
      <w:sz w:val="28"/>
      <w:szCs w:val="28"/>
      <w:lang w:eastAsia="ar-SA"/>
    </w:rPr>
  </w:style>
  <w:style w:type="character" w:customStyle="1" w:styleId="CaptuloChar">
    <w:name w:val="Capítulo Char"/>
    <w:link w:val="Captulo"/>
    <w:rsid w:val="0071567F"/>
    <w:rPr>
      <w:rFonts w:ascii="Arial" w:eastAsia="MS Mincho" w:hAnsi="Arial" w:cs="Tahoma"/>
      <w:sz w:val="28"/>
      <w:szCs w:val="28"/>
      <w:lang w:val="pt-BR" w:eastAsia="ar-SA" w:bidi="ar-SA"/>
    </w:rPr>
  </w:style>
  <w:style w:type="character" w:customStyle="1" w:styleId="CaracteresdeNotadeRodap">
    <w:name w:val="Caracteres de Nota de Rodapé"/>
    <w:rsid w:val="0071567F"/>
    <w:rPr>
      <w:vertAlign w:val="superscript"/>
    </w:rPr>
  </w:style>
  <w:style w:type="character" w:customStyle="1" w:styleId="WW-Fontepargpadro">
    <w:name w:val="WW-Fonte parág. padrão"/>
    <w:rsid w:val="0071567F"/>
  </w:style>
  <w:style w:type="character" w:customStyle="1" w:styleId="Smbolosdenumerao">
    <w:name w:val="Símbolos de numeração"/>
    <w:rsid w:val="0071567F"/>
  </w:style>
  <w:style w:type="character" w:customStyle="1" w:styleId="Marcadores">
    <w:name w:val="Marcadores"/>
    <w:rsid w:val="0071567F"/>
    <w:rPr>
      <w:rFonts w:ascii="StarSymbol" w:eastAsia="StarSymbol" w:hAnsi="StarSymbol" w:cs="StarSymbol"/>
      <w:sz w:val="18"/>
      <w:szCs w:val="18"/>
    </w:rPr>
  </w:style>
  <w:style w:type="character" w:styleId="HiperlinkVisitado">
    <w:name w:val="FollowedHyperlink"/>
    <w:uiPriority w:val="99"/>
    <w:rsid w:val="0071567F"/>
    <w:rPr>
      <w:color w:val="800080"/>
      <w:u w:val="single"/>
    </w:rPr>
  </w:style>
  <w:style w:type="character" w:customStyle="1" w:styleId="CaracteresdeNotadeFim">
    <w:name w:val="Caracteres de Nota de Fim"/>
    <w:rsid w:val="0071567F"/>
    <w:rPr>
      <w:vertAlign w:val="superscript"/>
    </w:rPr>
  </w:style>
  <w:style w:type="character" w:customStyle="1" w:styleId="WW8Num3z0">
    <w:name w:val="WW8Num3z0"/>
    <w:rsid w:val="0071567F"/>
    <w:rPr>
      <w:rFonts w:ascii="Symbol" w:hAnsi="Symbol"/>
    </w:rPr>
  </w:style>
  <w:style w:type="character" w:customStyle="1" w:styleId="Absatz-Standardschriftart">
    <w:name w:val="Absatz-Standardschriftart"/>
    <w:rsid w:val="0071567F"/>
  </w:style>
  <w:style w:type="character" w:customStyle="1" w:styleId="WW8Num4z0">
    <w:name w:val="WW8Num4z0"/>
    <w:rsid w:val="0071567F"/>
    <w:rPr>
      <w:rFonts w:ascii="Symbol" w:hAnsi="Symbol"/>
    </w:rPr>
  </w:style>
  <w:style w:type="character" w:customStyle="1" w:styleId="WW8Num4z1">
    <w:name w:val="WW8Num4z1"/>
    <w:rsid w:val="0071567F"/>
    <w:rPr>
      <w:rFonts w:ascii="Courier New" w:hAnsi="Courier New"/>
    </w:rPr>
  </w:style>
  <w:style w:type="character" w:customStyle="1" w:styleId="WW8Num4z2">
    <w:name w:val="WW8Num4z2"/>
    <w:rsid w:val="0071567F"/>
    <w:rPr>
      <w:rFonts w:ascii="Wingdings" w:hAnsi="Wingdings"/>
    </w:rPr>
  </w:style>
  <w:style w:type="character" w:customStyle="1" w:styleId="WW-CaracteresdeNotadeFim">
    <w:name w:val="WW- Caracteres de Nota de Fim"/>
    <w:rsid w:val="0071567F"/>
  </w:style>
  <w:style w:type="paragraph" w:customStyle="1" w:styleId="Contedodatabela">
    <w:name w:val="Conteúdo da tabela"/>
    <w:basedOn w:val="Normal"/>
    <w:rsid w:val="0071567F"/>
    <w:pPr>
      <w:widowControl/>
      <w:suppressLineNumbers/>
      <w:suppressAutoHyphens/>
      <w:spacing w:line="240" w:lineRule="auto"/>
      <w:jc w:val="left"/>
    </w:pPr>
    <w:rPr>
      <w:lang w:eastAsia="ar-SA"/>
    </w:rPr>
  </w:style>
  <w:style w:type="paragraph" w:customStyle="1" w:styleId="Ttulodatabela">
    <w:name w:val="Título da tabela"/>
    <w:basedOn w:val="Contedodatabela"/>
    <w:rsid w:val="0071567F"/>
    <w:pPr>
      <w:jc w:val="center"/>
    </w:pPr>
    <w:rPr>
      <w:b/>
      <w:bCs/>
      <w:i/>
      <w:iCs/>
    </w:rPr>
  </w:style>
  <w:style w:type="paragraph" w:customStyle="1" w:styleId="Contedodoquadro">
    <w:name w:val="Conteúdo do quadro"/>
    <w:basedOn w:val="Corpodetexto"/>
    <w:rsid w:val="0071567F"/>
    <w:pPr>
      <w:widowControl/>
      <w:suppressAutoHyphens/>
      <w:spacing w:line="360" w:lineRule="auto"/>
    </w:pPr>
    <w:rPr>
      <w:lang w:eastAsia="ar-SA"/>
    </w:rPr>
  </w:style>
  <w:style w:type="paragraph" w:customStyle="1" w:styleId="ndice">
    <w:name w:val="Índice"/>
    <w:basedOn w:val="Normal"/>
    <w:rsid w:val="0071567F"/>
    <w:pPr>
      <w:widowControl/>
      <w:suppressLineNumbers/>
      <w:suppressAutoHyphens/>
      <w:spacing w:line="240" w:lineRule="auto"/>
      <w:jc w:val="left"/>
    </w:pPr>
    <w:rPr>
      <w:rFonts w:cs="Tahoma"/>
      <w:lang w:eastAsia="ar-SA"/>
    </w:rPr>
  </w:style>
  <w:style w:type="paragraph" w:customStyle="1" w:styleId="western">
    <w:name w:val="western"/>
    <w:basedOn w:val="Normal"/>
    <w:rsid w:val="0071567F"/>
    <w:pPr>
      <w:widowControl/>
      <w:spacing w:before="100" w:beforeAutospacing="1" w:after="119" w:line="240" w:lineRule="auto"/>
      <w:jc w:val="left"/>
    </w:pPr>
    <w:rPr>
      <w:rFonts w:ascii="Arial Unicode MS" w:eastAsia="Arial Unicode MS" w:hAnsi="Arial Unicode MS" w:cs="Arial Unicode MS"/>
    </w:rPr>
  </w:style>
  <w:style w:type="character" w:styleId="Forte">
    <w:name w:val="Strong"/>
    <w:uiPriority w:val="22"/>
    <w:qFormat/>
    <w:rsid w:val="0071567F"/>
    <w:rPr>
      <w:b/>
      <w:bCs/>
    </w:rPr>
  </w:style>
  <w:style w:type="paragraph" w:customStyle="1" w:styleId="xl24">
    <w:name w:val="xl24"/>
    <w:basedOn w:val="Normal"/>
    <w:rsid w:val="0071567F"/>
    <w:pPr>
      <w:widowControl/>
      <w:spacing w:before="100" w:beforeAutospacing="1" w:after="100" w:afterAutospacing="1" w:line="240" w:lineRule="auto"/>
      <w:jc w:val="right"/>
    </w:pPr>
    <w:rPr>
      <w:rFonts w:ascii="Arial Unicode MS" w:eastAsia="Arial Unicode MS" w:hAnsi="Arial Unicode MS" w:cs="Arial Unicode MS"/>
    </w:rPr>
  </w:style>
  <w:style w:type="paragraph" w:customStyle="1" w:styleId="xl25">
    <w:name w:val="xl25"/>
    <w:basedOn w:val="Normal"/>
    <w:rsid w:val="0071567F"/>
    <w:pPr>
      <w:widowControl/>
      <w:spacing w:before="100" w:beforeAutospacing="1" w:after="100" w:afterAutospacing="1" w:line="240" w:lineRule="auto"/>
      <w:jc w:val="center"/>
      <w:textAlignment w:val="center"/>
    </w:pPr>
    <w:rPr>
      <w:rFonts w:ascii="Arial Unicode MS" w:eastAsia="Arial Unicode MS" w:hAnsi="Arial Unicode MS" w:cs="Arial Unicode MS"/>
    </w:rPr>
  </w:style>
  <w:style w:type="paragraph" w:customStyle="1" w:styleId="xl26">
    <w:name w:val="xl26"/>
    <w:basedOn w:val="Normal"/>
    <w:rsid w:val="0071567F"/>
    <w:pPr>
      <w:widowControl/>
      <w:spacing w:before="100" w:beforeAutospacing="1" w:after="100" w:afterAutospacing="1" w:line="240" w:lineRule="auto"/>
      <w:jc w:val="center"/>
      <w:textAlignment w:val="center"/>
    </w:pPr>
    <w:rPr>
      <w:rFonts w:ascii="Courier New" w:eastAsia="Arial Unicode MS" w:hAnsi="Courier New" w:cs="Courier New"/>
      <w:sz w:val="18"/>
      <w:szCs w:val="18"/>
    </w:rPr>
  </w:style>
  <w:style w:type="paragraph" w:styleId="NormalWeb">
    <w:name w:val="Normal (Web)"/>
    <w:basedOn w:val="Normal"/>
    <w:uiPriority w:val="99"/>
    <w:rsid w:val="0071567F"/>
    <w:pPr>
      <w:widowControl/>
      <w:spacing w:before="100" w:beforeAutospacing="1" w:after="100" w:afterAutospacing="1" w:line="240" w:lineRule="auto"/>
      <w:jc w:val="left"/>
    </w:pPr>
    <w:rPr>
      <w:rFonts w:ascii="Arial Unicode MS" w:eastAsia="Arial Unicode MS" w:hAnsi="Arial Unicode MS" w:cs="Arial Unicode MS"/>
      <w:color w:val="000000"/>
    </w:rPr>
  </w:style>
  <w:style w:type="paragraph" w:styleId="Recuodecorpodetexto3">
    <w:name w:val="Body Text Indent 3"/>
    <w:basedOn w:val="Normal"/>
    <w:rsid w:val="0071567F"/>
    <w:pPr>
      <w:widowControl/>
      <w:suppressAutoHyphens/>
      <w:spacing w:line="240" w:lineRule="auto"/>
      <w:ind w:left="4470"/>
    </w:pPr>
    <w:rPr>
      <w:lang w:eastAsia="ar-SA"/>
    </w:rPr>
  </w:style>
  <w:style w:type="paragraph" w:customStyle="1" w:styleId="EstiloTtulo2Todasemmaisculas">
    <w:name w:val="Estilo Título 2 + Todas em maiúsculas"/>
    <w:basedOn w:val="Ttulo1"/>
    <w:link w:val="EstiloTtulo2TodasemmaisculasChar"/>
    <w:rsid w:val="0071567F"/>
    <w:pPr>
      <w:keepNext/>
      <w:widowControl/>
      <w:suppressAutoHyphens/>
      <w:spacing w:before="0" w:after="0"/>
    </w:pPr>
    <w:rPr>
      <w:rFonts w:eastAsia="MS Mincho" w:cs="Arial"/>
      <w:bCs/>
      <w:caps w:val="0"/>
      <w:szCs w:val="28"/>
      <w:lang w:val="pt-BR" w:eastAsia="ar-SA"/>
    </w:rPr>
  </w:style>
  <w:style w:type="character" w:customStyle="1" w:styleId="EstiloTtulo2TodasemmaisculasChar">
    <w:name w:val="Estilo Título 2 + Todas em maiúsculas Char"/>
    <w:link w:val="EstiloTtulo2Todasemmaisculas"/>
    <w:rsid w:val="0071567F"/>
    <w:rPr>
      <w:rFonts w:eastAsia="MS Mincho" w:cs="Arial"/>
      <w:b/>
      <w:bCs/>
      <w:sz w:val="24"/>
      <w:szCs w:val="28"/>
      <w:lang w:val="pt-BR" w:eastAsia="ar-SA" w:bidi="ar-SA"/>
    </w:rPr>
  </w:style>
  <w:style w:type="character" w:customStyle="1" w:styleId="Subttulo1">
    <w:name w:val="Subtítulo1"/>
    <w:basedOn w:val="Fontepargpadro"/>
    <w:rsid w:val="0071567F"/>
  </w:style>
  <w:style w:type="character" w:customStyle="1" w:styleId="tipcapes">
    <w:name w:val="tipcapes"/>
    <w:basedOn w:val="Fontepargpadro"/>
    <w:rsid w:val="00E24AA8"/>
  </w:style>
  <w:style w:type="paragraph" w:customStyle="1" w:styleId="BNDES">
    <w:name w:val="BNDES"/>
    <w:rsid w:val="00E77E72"/>
    <w:pPr>
      <w:jc w:val="both"/>
    </w:pPr>
    <w:rPr>
      <w:rFonts w:ascii="Arial" w:hAnsi="Arial"/>
      <w:sz w:val="24"/>
    </w:rPr>
  </w:style>
  <w:style w:type="paragraph" w:customStyle="1" w:styleId="normal1">
    <w:name w:val="normal1"/>
    <w:basedOn w:val="Normal"/>
    <w:rsid w:val="00E30CEB"/>
    <w:pPr>
      <w:widowControl/>
      <w:spacing w:line="480" w:lineRule="auto"/>
      <w:ind w:firstLine="1418"/>
    </w:pPr>
    <w:rPr>
      <w:szCs w:val="20"/>
    </w:rPr>
  </w:style>
  <w:style w:type="paragraph" w:customStyle="1" w:styleId="EstiloEstiloArial10ptAntes12ptEspaamentoentrelinhasP">
    <w:name w:val="Estilo Estilo Arial 10 pt Antes:  12 pt Espaçamento entre linhas:  P..."/>
    <w:basedOn w:val="EstiloArial10ptAntes12ptEspaamentoentrelinhasPelo"/>
    <w:rsid w:val="006E017F"/>
    <w:pPr>
      <w:spacing w:line="252" w:lineRule="atLeast"/>
    </w:pPr>
    <w:rPr>
      <w:sz w:val="18"/>
    </w:rPr>
  </w:style>
  <w:style w:type="paragraph" w:customStyle="1" w:styleId="EstiloEstiloEstiloArial10ptAntes12ptEspaamentoentrelin">
    <w:name w:val="Estilo Estilo Estilo Arial 10 pt Antes:  12 pt Espaçamento entre lin..."/>
    <w:basedOn w:val="EstiloEstiloArial10ptAntes12ptEspaamentoentrelinhasP"/>
    <w:rsid w:val="00C0099C"/>
    <w:pPr>
      <w:spacing w:line="240" w:lineRule="atLeast"/>
    </w:pPr>
  </w:style>
  <w:style w:type="paragraph" w:customStyle="1" w:styleId="EstiloEstiloArial10ptAntes12ptEspaamentoentrelinhasP1">
    <w:name w:val="Estilo Estilo Arial 10 pt Antes:  12 pt Espaçamento entre linhas:  P...1"/>
    <w:basedOn w:val="EstiloArial10ptAntes12ptEspaamentoentrelinhasPelo"/>
    <w:link w:val="EstiloEstiloArial10ptAntes12ptEspaamentoentrelinhasP1Char"/>
    <w:rsid w:val="00E11037"/>
    <w:rPr>
      <w:sz w:val="18"/>
    </w:rPr>
  </w:style>
  <w:style w:type="character" w:customStyle="1" w:styleId="EstiloEstiloArial10ptAntes12ptEspaamentoentrelinhasP1Char">
    <w:name w:val="Estilo Estilo Arial 10 pt Antes:  12 pt Espaçamento entre linhas:  P...1 Char"/>
    <w:link w:val="EstiloEstiloArial10ptAntes12ptEspaamentoentrelinhasP1"/>
    <w:rsid w:val="00E11037"/>
    <w:rPr>
      <w:rFonts w:ascii="Arial" w:hAnsi="Arial"/>
      <w:sz w:val="18"/>
      <w:lang w:val="pt-BR" w:eastAsia="pt-BR" w:bidi="ar-SA"/>
    </w:rPr>
  </w:style>
  <w:style w:type="character" w:customStyle="1" w:styleId="shorttext1">
    <w:name w:val="short_text1"/>
    <w:rsid w:val="003547B9"/>
    <w:rPr>
      <w:spacing w:val="324"/>
      <w:sz w:val="29"/>
      <w:szCs w:val="29"/>
    </w:rPr>
  </w:style>
  <w:style w:type="paragraph" w:customStyle="1" w:styleId="EstiloEstiloArial10ptAntes12ptEspaamentoentrelinhasP2">
    <w:name w:val="Estilo Estilo Arial 10 pt Antes:  12 pt Espaçamento entre linhas:  P...2"/>
    <w:basedOn w:val="EstiloArial10ptAntes12ptEspaamentoentrelinhasPelo"/>
    <w:rsid w:val="00625DBA"/>
    <w:pPr>
      <w:spacing w:before="0" w:line="240" w:lineRule="auto"/>
      <w:ind w:left="1134"/>
    </w:pPr>
    <w:rPr>
      <w:sz w:val="16"/>
    </w:rPr>
  </w:style>
  <w:style w:type="paragraph" w:customStyle="1" w:styleId="EstiloCitaoArial8ptesquerda2cmAntes0ptDepoi">
    <w:name w:val="Estilo Citação + Arial 8 pt À esquerda:  2 cm Antes:  0 pt Depoi..."/>
    <w:basedOn w:val="Citao"/>
    <w:rsid w:val="00526B6C"/>
    <w:pPr>
      <w:spacing w:before="0" w:after="0"/>
      <w:ind w:left="1134"/>
    </w:pPr>
    <w:rPr>
      <w:rFonts w:ascii="Arial" w:hAnsi="Arial"/>
      <w:sz w:val="16"/>
      <w:szCs w:val="20"/>
    </w:rPr>
  </w:style>
  <w:style w:type="character" w:customStyle="1" w:styleId="apple-style-span">
    <w:name w:val="apple-style-span"/>
    <w:rsid w:val="00C8297D"/>
  </w:style>
  <w:style w:type="character" w:customStyle="1" w:styleId="txt1">
    <w:name w:val="txt1"/>
    <w:rsid w:val="0019132B"/>
    <w:rPr>
      <w:rFonts w:ascii="Verdana" w:hAnsi="Verdana" w:hint="default"/>
      <w:strike w:val="0"/>
      <w:dstrike w:val="0"/>
      <w:color w:val="383838"/>
      <w:sz w:val="13"/>
      <w:szCs w:val="13"/>
      <w:u w:val="none"/>
      <w:effect w:val="none"/>
    </w:rPr>
  </w:style>
  <w:style w:type="character" w:styleId="nfase">
    <w:name w:val="Emphasis"/>
    <w:uiPriority w:val="20"/>
    <w:qFormat/>
    <w:rsid w:val="0019132B"/>
    <w:rPr>
      <w:i/>
      <w:iCs/>
    </w:rPr>
  </w:style>
  <w:style w:type="paragraph" w:styleId="Sumrio1">
    <w:name w:val="toc 1"/>
    <w:basedOn w:val="Normal"/>
    <w:next w:val="Normal"/>
    <w:autoRedefine/>
    <w:uiPriority w:val="39"/>
    <w:rsid w:val="0019132B"/>
    <w:pPr>
      <w:widowControl/>
      <w:tabs>
        <w:tab w:val="right" w:leader="dot" w:pos="9395"/>
      </w:tabs>
      <w:jc w:val="left"/>
    </w:pPr>
    <w:rPr>
      <w:noProof/>
    </w:rPr>
  </w:style>
  <w:style w:type="paragraph" w:styleId="Sumrio2">
    <w:name w:val="toc 2"/>
    <w:basedOn w:val="Normal"/>
    <w:next w:val="Normal"/>
    <w:autoRedefine/>
    <w:uiPriority w:val="39"/>
    <w:rsid w:val="0019132B"/>
    <w:pPr>
      <w:widowControl/>
      <w:tabs>
        <w:tab w:val="right" w:leader="dot" w:pos="9395"/>
      </w:tabs>
      <w:ind w:left="720" w:hanging="480"/>
      <w:jc w:val="left"/>
    </w:pPr>
  </w:style>
  <w:style w:type="paragraph" w:styleId="ndicedeilustraes">
    <w:name w:val="table of figures"/>
    <w:basedOn w:val="Normal"/>
    <w:next w:val="Normal"/>
    <w:uiPriority w:val="99"/>
    <w:rsid w:val="0019132B"/>
    <w:pPr>
      <w:widowControl/>
      <w:spacing w:line="240" w:lineRule="auto"/>
      <w:ind w:left="480" w:hanging="480"/>
      <w:jc w:val="left"/>
    </w:pPr>
  </w:style>
  <w:style w:type="paragraph" w:customStyle="1" w:styleId="Estilo2">
    <w:name w:val="Estilo2"/>
    <w:basedOn w:val="EstiloEstiloArial10ptAntes12ptEspaamentoentrelinhasP1"/>
    <w:link w:val="Estilo2Char"/>
    <w:qFormat/>
    <w:rsid w:val="00FC64BD"/>
    <w:rPr>
      <w:lang w:val="en-US"/>
    </w:rPr>
  </w:style>
  <w:style w:type="character" w:customStyle="1" w:styleId="Estilo2Char">
    <w:name w:val="Estilo2 Char"/>
    <w:link w:val="Estilo2"/>
    <w:rsid w:val="00FC64BD"/>
    <w:rPr>
      <w:rFonts w:ascii="Arial" w:hAnsi="Arial"/>
      <w:sz w:val="18"/>
      <w:lang w:val="en-US" w:eastAsia="pt-BR" w:bidi="ar-SA"/>
    </w:rPr>
  </w:style>
  <w:style w:type="paragraph" w:customStyle="1" w:styleId="Estilo3">
    <w:name w:val="Estilo3"/>
    <w:basedOn w:val="EstiloEstiloEstiloArial10ptAntes12ptEspaamentoentrelin"/>
    <w:link w:val="Estilo3Char"/>
    <w:qFormat/>
    <w:rsid w:val="000C6636"/>
  </w:style>
  <w:style w:type="paragraph" w:customStyle="1" w:styleId="Estilo4">
    <w:name w:val="Estilo4"/>
    <w:basedOn w:val="Estilo2"/>
    <w:qFormat/>
    <w:rsid w:val="00515864"/>
  </w:style>
  <w:style w:type="paragraph" w:customStyle="1" w:styleId="Estilo5">
    <w:name w:val="Estilo5"/>
    <w:basedOn w:val="Estilo4"/>
    <w:qFormat/>
    <w:rsid w:val="00515864"/>
  </w:style>
  <w:style w:type="paragraph" w:customStyle="1" w:styleId="TextoNormal">
    <w:name w:val="Texto Normal"/>
    <w:basedOn w:val="Normal"/>
    <w:rsid w:val="00BF7991"/>
    <w:pPr>
      <w:widowControl/>
      <w:spacing w:line="480" w:lineRule="auto"/>
      <w:ind w:firstLine="851"/>
    </w:pPr>
    <w:rPr>
      <w:rFonts w:eastAsia="MS Mincho"/>
    </w:rPr>
  </w:style>
  <w:style w:type="paragraph" w:customStyle="1" w:styleId="Estilo6">
    <w:name w:val="Estilo6"/>
    <w:basedOn w:val="Estilo3"/>
    <w:qFormat/>
    <w:rsid w:val="00BF7991"/>
  </w:style>
  <w:style w:type="paragraph" w:styleId="Subttulo">
    <w:name w:val="Subtitle"/>
    <w:basedOn w:val="Normal"/>
    <w:link w:val="SubttuloChar"/>
    <w:qFormat/>
    <w:rsid w:val="00063E6F"/>
    <w:pPr>
      <w:widowControl/>
      <w:spacing w:line="240" w:lineRule="auto"/>
      <w:jc w:val="center"/>
    </w:pPr>
    <w:rPr>
      <w:b/>
      <w:lang w:val="x-none" w:eastAsia="x-none"/>
    </w:rPr>
  </w:style>
  <w:style w:type="character" w:customStyle="1" w:styleId="SubttuloChar">
    <w:name w:val="Subtítulo Char"/>
    <w:link w:val="Subttulo"/>
    <w:rsid w:val="00063E6F"/>
    <w:rPr>
      <w:b/>
      <w:sz w:val="24"/>
      <w:szCs w:val="24"/>
    </w:rPr>
  </w:style>
  <w:style w:type="paragraph" w:customStyle="1" w:styleId="CharChar1">
    <w:name w:val="Char Char1"/>
    <w:basedOn w:val="Normal"/>
    <w:rsid w:val="00063E6F"/>
    <w:pPr>
      <w:widowControl/>
      <w:spacing w:after="160" w:line="240" w:lineRule="exact"/>
      <w:jc w:val="left"/>
    </w:pPr>
    <w:rPr>
      <w:rFonts w:ascii="Verdana" w:hAnsi="Verdana" w:cs="Verdana"/>
      <w:sz w:val="20"/>
      <w:szCs w:val="20"/>
      <w:lang w:val="en-US" w:eastAsia="en-US"/>
    </w:rPr>
  </w:style>
  <w:style w:type="paragraph" w:customStyle="1" w:styleId="EstiloEstilo38ptesquerda1cmEspaamentoentrelinhas">
    <w:name w:val="Estilo Estilo3 + 8 pt À esquerda:  1 cm Espaçamento entre linhas: ..."/>
    <w:basedOn w:val="Estilo3"/>
    <w:rsid w:val="001A652D"/>
    <w:pPr>
      <w:spacing w:line="240" w:lineRule="auto"/>
      <w:ind w:left="567"/>
    </w:pPr>
    <w:rPr>
      <w:sz w:val="16"/>
    </w:rPr>
  </w:style>
  <w:style w:type="character" w:styleId="Refdecomentrio">
    <w:name w:val="annotation reference"/>
    <w:uiPriority w:val="99"/>
    <w:rsid w:val="009C73BD"/>
    <w:rPr>
      <w:sz w:val="16"/>
      <w:szCs w:val="16"/>
    </w:rPr>
  </w:style>
  <w:style w:type="paragraph" w:styleId="Textodecomentrio">
    <w:name w:val="annotation text"/>
    <w:basedOn w:val="Normal"/>
    <w:link w:val="TextodecomentrioChar"/>
    <w:uiPriority w:val="99"/>
    <w:rsid w:val="009C73BD"/>
    <w:pPr>
      <w:widowControl/>
      <w:spacing w:line="240" w:lineRule="auto"/>
      <w:jc w:val="left"/>
    </w:pPr>
    <w:rPr>
      <w:sz w:val="20"/>
      <w:szCs w:val="20"/>
    </w:rPr>
  </w:style>
  <w:style w:type="character" w:customStyle="1" w:styleId="TextodecomentrioChar">
    <w:name w:val="Texto de comentário Char"/>
    <w:basedOn w:val="Fontepargpadro"/>
    <w:link w:val="Textodecomentrio"/>
    <w:uiPriority w:val="99"/>
    <w:rsid w:val="009C73BD"/>
  </w:style>
  <w:style w:type="paragraph" w:customStyle="1" w:styleId="Default">
    <w:name w:val="Default"/>
    <w:rsid w:val="009C73BD"/>
    <w:pPr>
      <w:autoSpaceDE w:val="0"/>
      <w:autoSpaceDN w:val="0"/>
      <w:adjustRightInd w:val="0"/>
    </w:pPr>
    <w:rPr>
      <w:rFonts w:ascii="Arial" w:hAnsi="Arial" w:cs="Arial"/>
      <w:color w:val="000000"/>
      <w:sz w:val="24"/>
      <w:szCs w:val="24"/>
    </w:rPr>
  </w:style>
  <w:style w:type="paragraph" w:customStyle="1" w:styleId="sem-espacamento2">
    <w:name w:val="sem-espacamento2"/>
    <w:basedOn w:val="Normal"/>
    <w:rsid w:val="009C73BD"/>
    <w:pPr>
      <w:widowControl/>
      <w:spacing w:line="384" w:lineRule="auto"/>
      <w:jc w:val="left"/>
    </w:pPr>
    <w:rPr>
      <w:sz w:val="16"/>
      <w:szCs w:val="16"/>
    </w:rPr>
  </w:style>
  <w:style w:type="character" w:customStyle="1" w:styleId="style291">
    <w:name w:val="style291"/>
    <w:rsid w:val="009C73BD"/>
    <w:rPr>
      <w:rFonts w:ascii="Arial" w:hAnsi="Arial" w:cs="Arial" w:hint="default"/>
      <w:sz w:val="18"/>
      <w:szCs w:val="18"/>
    </w:rPr>
  </w:style>
  <w:style w:type="paragraph" w:styleId="Assuntodocomentrio">
    <w:name w:val="annotation subject"/>
    <w:basedOn w:val="Textodecomentrio"/>
    <w:next w:val="Textodecomentrio"/>
    <w:link w:val="AssuntodocomentrioChar"/>
    <w:uiPriority w:val="99"/>
    <w:rsid w:val="009C73BD"/>
    <w:rPr>
      <w:b/>
      <w:bCs/>
      <w:lang w:val="x-none" w:eastAsia="x-none"/>
    </w:rPr>
  </w:style>
  <w:style w:type="character" w:customStyle="1" w:styleId="AssuntodocomentrioChar">
    <w:name w:val="Assunto do comentário Char"/>
    <w:link w:val="Assuntodocomentrio"/>
    <w:uiPriority w:val="99"/>
    <w:rsid w:val="009C73BD"/>
    <w:rPr>
      <w:b/>
      <w:bCs/>
    </w:rPr>
  </w:style>
  <w:style w:type="character" w:customStyle="1" w:styleId="HTMLMarkup">
    <w:name w:val="HTML Markup"/>
    <w:rsid w:val="009C73BD"/>
    <w:rPr>
      <w:vanish/>
      <w:color w:val="FF0000"/>
    </w:rPr>
  </w:style>
  <w:style w:type="paragraph" w:styleId="Sumrio8">
    <w:name w:val="toc 8"/>
    <w:basedOn w:val="Normal"/>
    <w:next w:val="Normal"/>
    <w:autoRedefine/>
    <w:rsid w:val="009C73BD"/>
    <w:pPr>
      <w:widowControl/>
      <w:spacing w:line="240" w:lineRule="auto"/>
      <w:ind w:left="1680"/>
      <w:jc w:val="left"/>
    </w:pPr>
    <w:rPr>
      <w:sz w:val="20"/>
      <w:szCs w:val="20"/>
    </w:rPr>
  </w:style>
  <w:style w:type="character" w:customStyle="1" w:styleId="txtarial8ptgray1">
    <w:name w:val="txt_arial_8pt_gray1"/>
    <w:rsid w:val="009C73BD"/>
    <w:rPr>
      <w:rFonts w:ascii="Verdana" w:hAnsi="Verdana" w:hint="default"/>
      <w:color w:val="666666"/>
      <w:sz w:val="16"/>
      <w:szCs w:val="16"/>
    </w:rPr>
  </w:style>
  <w:style w:type="character" w:customStyle="1" w:styleId="longtext1">
    <w:name w:val="long_text1"/>
    <w:rsid w:val="009C73BD"/>
    <w:rPr>
      <w:sz w:val="20"/>
      <w:szCs w:val="20"/>
    </w:rPr>
  </w:style>
  <w:style w:type="character" w:customStyle="1" w:styleId="apple-converted-space">
    <w:name w:val="apple-converted-space"/>
    <w:basedOn w:val="Fontepargpadro"/>
    <w:rsid w:val="009C73BD"/>
  </w:style>
  <w:style w:type="character" w:customStyle="1" w:styleId="longtext">
    <w:name w:val="long_text"/>
    <w:basedOn w:val="Fontepargpadro"/>
    <w:rsid w:val="009C73BD"/>
  </w:style>
  <w:style w:type="character" w:customStyle="1" w:styleId="hps">
    <w:name w:val="hps"/>
    <w:basedOn w:val="Fontepargpadro"/>
    <w:rsid w:val="009C73BD"/>
  </w:style>
  <w:style w:type="paragraph" w:styleId="SemEspaamento">
    <w:name w:val="No Spacing"/>
    <w:uiPriority w:val="1"/>
    <w:qFormat/>
    <w:rsid w:val="00A15751"/>
    <w:rPr>
      <w:rFonts w:ascii="Calibri" w:eastAsia="Calibri" w:hAnsi="Calibri"/>
      <w:sz w:val="22"/>
      <w:szCs w:val="22"/>
      <w:lang w:eastAsia="en-US"/>
    </w:rPr>
  </w:style>
  <w:style w:type="paragraph" w:customStyle="1" w:styleId="Tabla">
    <w:name w:val="Tabla"/>
    <w:basedOn w:val="Normal"/>
    <w:link w:val="TablaChar"/>
    <w:qFormat/>
    <w:rsid w:val="00284E1F"/>
    <w:pPr>
      <w:widowControl/>
      <w:spacing w:line="240" w:lineRule="auto"/>
    </w:pPr>
    <w:rPr>
      <w:sz w:val="20"/>
    </w:rPr>
  </w:style>
  <w:style w:type="character" w:customStyle="1" w:styleId="TablaChar">
    <w:name w:val="Tabla Char"/>
    <w:link w:val="Tabla"/>
    <w:rsid w:val="00284E1F"/>
    <w:rPr>
      <w:szCs w:val="24"/>
    </w:rPr>
  </w:style>
  <w:style w:type="paragraph" w:customStyle="1" w:styleId="Referencia">
    <w:name w:val="Referencia"/>
    <w:basedOn w:val="Normal"/>
    <w:link w:val="ReferenciaChar"/>
    <w:rsid w:val="00284E1F"/>
    <w:pPr>
      <w:widowControl/>
      <w:spacing w:after="240" w:line="240" w:lineRule="auto"/>
    </w:pPr>
    <w:rPr>
      <w:rFonts w:eastAsia="Calibri"/>
      <w:lang w:eastAsia="en-US"/>
    </w:rPr>
  </w:style>
  <w:style w:type="character" w:customStyle="1" w:styleId="ReferenciaChar">
    <w:name w:val="Referencia Char"/>
    <w:link w:val="Referencia"/>
    <w:rsid w:val="00284E1F"/>
    <w:rPr>
      <w:rFonts w:eastAsia="Calibri"/>
      <w:sz w:val="24"/>
      <w:szCs w:val="24"/>
      <w:lang w:eastAsia="en-US"/>
    </w:rPr>
  </w:style>
  <w:style w:type="paragraph" w:customStyle="1" w:styleId="Refer">
    <w:name w:val="Refer"/>
    <w:basedOn w:val="Normal"/>
    <w:link w:val="ReferChar"/>
    <w:qFormat/>
    <w:rsid w:val="00284E1F"/>
    <w:pPr>
      <w:widowControl/>
      <w:autoSpaceDE w:val="0"/>
      <w:autoSpaceDN w:val="0"/>
      <w:adjustRightInd w:val="0"/>
      <w:spacing w:after="240" w:line="240" w:lineRule="auto"/>
    </w:pPr>
  </w:style>
  <w:style w:type="character" w:customStyle="1" w:styleId="ReferChar">
    <w:name w:val="Refer Char"/>
    <w:link w:val="Refer"/>
    <w:rsid w:val="00284E1F"/>
    <w:rPr>
      <w:sz w:val="24"/>
      <w:szCs w:val="24"/>
    </w:rPr>
  </w:style>
  <w:style w:type="paragraph" w:styleId="PargrafodaLista">
    <w:name w:val="List Paragraph"/>
    <w:basedOn w:val="Normal"/>
    <w:uiPriority w:val="34"/>
    <w:qFormat/>
    <w:rsid w:val="00284E1F"/>
    <w:pPr>
      <w:widowControl/>
      <w:spacing w:line="240" w:lineRule="auto"/>
      <w:ind w:left="720"/>
      <w:contextualSpacing/>
    </w:pPr>
    <w:rPr>
      <w:rFonts w:eastAsia="Calibri"/>
      <w:lang w:eastAsia="en-US"/>
    </w:rPr>
  </w:style>
  <w:style w:type="character" w:customStyle="1" w:styleId="descricao">
    <w:name w:val="descricao"/>
    <w:basedOn w:val="Fontepargpadro"/>
    <w:rsid w:val="00284E1F"/>
  </w:style>
  <w:style w:type="paragraph" w:styleId="Textodenotadefim">
    <w:name w:val="endnote text"/>
    <w:basedOn w:val="Normal"/>
    <w:link w:val="TextodenotadefimChar"/>
    <w:uiPriority w:val="99"/>
    <w:unhideWhenUsed/>
    <w:rsid w:val="00F2412D"/>
    <w:pPr>
      <w:widowControl/>
      <w:spacing w:after="200" w:line="276" w:lineRule="auto"/>
      <w:jc w:val="left"/>
    </w:pPr>
    <w:rPr>
      <w:rFonts w:ascii="Calibri" w:eastAsia="Calibri" w:hAnsi="Calibri"/>
      <w:sz w:val="20"/>
      <w:szCs w:val="20"/>
      <w:lang w:eastAsia="en-US"/>
    </w:rPr>
  </w:style>
  <w:style w:type="character" w:customStyle="1" w:styleId="TextodenotadefimChar">
    <w:name w:val="Texto de nota de fim Char"/>
    <w:link w:val="Textodenotadefim"/>
    <w:uiPriority w:val="99"/>
    <w:rsid w:val="00F2412D"/>
    <w:rPr>
      <w:rFonts w:ascii="Calibri" w:eastAsia="Calibri" w:hAnsi="Calibri"/>
      <w:lang w:eastAsia="en-US"/>
    </w:rPr>
  </w:style>
  <w:style w:type="character" w:styleId="Refdenotadefim">
    <w:name w:val="endnote reference"/>
    <w:uiPriority w:val="99"/>
    <w:unhideWhenUsed/>
    <w:rsid w:val="00F2412D"/>
    <w:rPr>
      <w:vertAlign w:val="superscript"/>
    </w:rPr>
  </w:style>
  <w:style w:type="character" w:customStyle="1" w:styleId="link">
    <w:name w:val="link"/>
    <w:basedOn w:val="Fontepargpadro"/>
    <w:rsid w:val="00F2412D"/>
  </w:style>
  <w:style w:type="paragraph" w:customStyle="1" w:styleId="Pa8">
    <w:name w:val="Pa8"/>
    <w:basedOn w:val="Default"/>
    <w:next w:val="Default"/>
    <w:uiPriority w:val="99"/>
    <w:rsid w:val="00F2412D"/>
    <w:pPr>
      <w:spacing w:line="211" w:lineRule="atLeast"/>
    </w:pPr>
    <w:rPr>
      <w:rFonts w:ascii="Times" w:eastAsia="Calibri" w:hAnsi="Times" w:cs="Times New Roman"/>
      <w:color w:val="auto"/>
    </w:rPr>
  </w:style>
  <w:style w:type="paragraph" w:styleId="Reviso">
    <w:name w:val="Revision"/>
    <w:hidden/>
    <w:uiPriority w:val="99"/>
    <w:rsid w:val="00F2412D"/>
    <w:rPr>
      <w:rFonts w:ascii="Calibri" w:eastAsia="Calibri" w:hAnsi="Calibri"/>
      <w:sz w:val="22"/>
      <w:szCs w:val="22"/>
      <w:lang w:eastAsia="en-US"/>
    </w:rPr>
  </w:style>
  <w:style w:type="table" w:customStyle="1" w:styleId="SombreamentoClaro1">
    <w:name w:val="Sombreamento Claro1"/>
    <w:uiPriority w:val="99"/>
    <w:rsid w:val="0020763F"/>
    <w:rPr>
      <w:rFonts w:ascii="Calibri" w:eastAsia="Calibri" w:hAnsi="Calibri"/>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RevEnfCitao">
    <w:name w:val="Rev Enf Citação"/>
    <w:basedOn w:val="Normal"/>
    <w:qFormat/>
    <w:rsid w:val="00463479"/>
    <w:pPr>
      <w:spacing w:before="240" w:line="240" w:lineRule="auto"/>
      <w:ind w:left="1134"/>
    </w:pPr>
    <w:rPr>
      <w:rFonts w:ascii="Arial" w:hAnsi="Arial"/>
      <w:sz w:val="16"/>
    </w:rPr>
  </w:style>
  <w:style w:type="paragraph" w:customStyle="1" w:styleId="volissue">
    <w:name w:val="volissue"/>
    <w:basedOn w:val="Normal"/>
    <w:uiPriority w:val="99"/>
    <w:rsid w:val="00E65841"/>
    <w:pPr>
      <w:widowControl/>
      <w:spacing w:before="100" w:beforeAutospacing="1" w:after="100" w:afterAutospacing="1" w:line="240" w:lineRule="auto"/>
      <w:jc w:val="left"/>
    </w:pPr>
  </w:style>
  <w:style w:type="character" w:customStyle="1" w:styleId="searchword">
    <w:name w:val="searchword"/>
    <w:uiPriority w:val="99"/>
    <w:rsid w:val="00E65841"/>
    <w:rPr>
      <w:rFonts w:cs="Times New Roman"/>
    </w:rPr>
  </w:style>
  <w:style w:type="character" w:customStyle="1" w:styleId="notranslate">
    <w:name w:val="notranslate"/>
    <w:rsid w:val="00E65841"/>
    <w:rPr>
      <w:rFonts w:cs="Times New Roman"/>
    </w:rPr>
  </w:style>
  <w:style w:type="paragraph" w:customStyle="1" w:styleId="Normal10">
    <w:name w:val="Normal1"/>
    <w:basedOn w:val="Normal"/>
    <w:rsid w:val="00E65841"/>
    <w:pPr>
      <w:widowControl/>
      <w:spacing w:after="200" w:line="260" w:lineRule="atLeast"/>
      <w:jc w:val="left"/>
    </w:pPr>
    <w:rPr>
      <w:rFonts w:ascii="Calibri" w:hAnsi="Calibri"/>
      <w:sz w:val="22"/>
      <w:szCs w:val="22"/>
    </w:rPr>
  </w:style>
  <w:style w:type="character" w:customStyle="1" w:styleId="google-src-text1">
    <w:name w:val="google-src-text1"/>
    <w:uiPriority w:val="99"/>
    <w:rsid w:val="00E65841"/>
    <w:rPr>
      <w:rFonts w:cs="Times New Roman"/>
      <w:vanish/>
    </w:rPr>
  </w:style>
  <w:style w:type="paragraph" w:customStyle="1" w:styleId="Recuodecorpodetexto21">
    <w:name w:val="Recuo de corpo de texto 21"/>
    <w:basedOn w:val="Normal"/>
    <w:uiPriority w:val="99"/>
    <w:rsid w:val="00E65841"/>
    <w:pPr>
      <w:widowControl/>
      <w:suppressAutoHyphens/>
      <w:spacing w:line="240" w:lineRule="auto"/>
      <w:ind w:firstLine="708"/>
    </w:pPr>
    <w:rPr>
      <w:lang w:eastAsia="ar-SA"/>
    </w:rPr>
  </w:style>
  <w:style w:type="paragraph" w:customStyle="1" w:styleId="Corpodetexto21">
    <w:name w:val="Corpo de texto 21"/>
    <w:basedOn w:val="Normal"/>
    <w:rsid w:val="00E65841"/>
    <w:pPr>
      <w:widowControl/>
      <w:overflowPunct w:val="0"/>
      <w:autoSpaceDE w:val="0"/>
      <w:autoSpaceDN w:val="0"/>
      <w:adjustRightInd w:val="0"/>
      <w:ind w:left="357"/>
    </w:pPr>
    <w:rPr>
      <w:szCs w:val="20"/>
    </w:rPr>
  </w:style>
  <w:style w:type="character" w:styleId="TextodoEspaoReservado">
    <w:name w:val="Placeholder Text"/>
    <w:uiPriority w:val="99"/>
    <w:rsid w:val="00E65841"/>
    <w:rPr>
      <w:rFonts w:cs="Times New Roman"/>
      <w:color w:val="808080"/>
    </w:rPr>
  </w:style>
  <w:style w:type="character" w:customStyle="1" w:styleId="highlight">
    <w:name w:val="highlight"/>
    <w:uiPriority w:val="99"/>
    <w:rsid w:val="00E65841"/>
    <w:rPr>
      <w:rFonts w:cs="Times New Roman"/>
    </w:rPr>
  </w:style>
  <w:style w:type="character" w:customStyle="1" w:styleId="Ttulo10">
    <w:name w:val="Título1"/>
    <w:uiPriority w:val="99"/>
    <w:rsid w:val="00E65841"/>
    <w:rPr>
      <w:rFonts w:cs="Times New Roman"/>
    </w:rPr>
  </w:style>
  <w:style w:type="character" w:customStyle="1" w:styleId="dhdefesa">
    <w:name w:val="dh_defesa"/>
    <w:uiPriority w:val="99"/>
    <w:rsid w:val="00E65841"/>
    <w:rPr>
      <w:rFonts w:cs="Times New Roman"/>
    </w:rPr>
  </w:style>
  <w:style w:type="character" w:customStyle="1" w:styleId="qtpaginas">
    <w:name w:val="qt_paginas"/>
    <w:uiPriority w:val="99"/>
    <w:rsid w:val="00E65841"/>
    <w:rPr>
      <w:rFonts w:cs="Times New Roman"/>
    </w:rPr>
  </w:style>
  <w:style w:type="character" w:customStyle="1" w:styleId="niveltese">
    <w:name w:val="nivel_tese"/>
    <w:uiPriority w:val="99"/>
    <w:rsid w:val="00E65841"/>
    <w:rPr>
      <w:rFonts w:cs="Times New Roman"/>
    </w:rPr>
  </w:style>
  <w:style w:type="character" w:customStyle="1" w:styleId="ies">
    <w:name w:val="ies"/>
    <w:uiPriority w:val="99"/>
    <w:rsid w:val="00E65841"/>
    <w:rPr>
      <w:rFonts w:cs="Times New Roman"/>
    </w:rPr>
  </w:style>
  <w:style w:type="character" w:customStyle="1" w:styleId="biblioteca">
    <w:name w:val="biblioteca"/>
    <w:uiPriority w:val="99"/>
    <w:rsid w:val="00E65841"/>
    <w:rPr>
      <w:rFonts w:cs="Times New Roman"/>
    </w:rPr>
  </w:style>
  <w:style w:type="paragraph" w:customStyle="1" w:styleId="TEXTO-TCC">
    <w:name w:val="TEXTO - TCC"/>
    <w:basedOn w:val="Normal"/>
    <w:uiPriority w:val="99"/>
    <w:rsid w:val="00E65841"/>
    <w:pPr>
      <w:widowControl/>
      <w:ind w:firstLine="709"/>
    </w:pPr>
    <w:rPr>
      <w:rFonts w:cs="Calibri"/>
      <w:lang w:eastAsia="en-US"/>
    </w:rPr>
  </w:style>
  <w:style w:type="paragraph" w:customStyle="1" w:styleId="Ttulo21">
    <w:name w:val="Título 21"/>
    <w:basedOn w:val="Normal"/>
    <w:next w:val="Normal"/>
    <w:uiPriority w:val="99"/>
    <w:rsid w:val="00E65841"/>
    <w:pPr>
      <w:keepNext/>
      <w:keepLines/>
      <w:widowControl/>
      <w:spacing w:before="40" w:line="259" w:lineRule="auto"/>
      <w:jc w:val="left"/>
      <w:outlineLvl w:val="1"/>
    </w:pPr>
    <w:rPr>
      <w:rFonts w:ascii="Cambria" w:hAnsi="Cambria"/>
      <w:color w:val="365F91"/>
      <w:sz w:val="26"/>
      <w:szCs w:val="26"/>
      <w:lang w:eastAsia="en-US"/>
    </w:rPr>
  </w:style>
  <w:style w:type="paragraph" w:customStyle="1" w:styleId="Ttulo31">
    <w:name w:val="Título 31"/>
    <w:basedOn w:val="Normal"/>
    <w:next w:val="Normal"/>
    <w:uiPriority w:val="99"/>
    <w:rsid w:val="00E65841"/>
    <w:pPr>
      <w:keepNext/>
      <w:keepLines/>
      <w:widowControl/>
      <w:spacing w:before="40" w:line="276" w:lineRule="auto"/>
      <w:jc w:val="left"/>
      <w:outlineLvl w:val="2"/>
    </w:pPr>
    <w:rPr>
      <w:rFonts w:ascii="Cambria" w:hAnsi="Cambria"/>
      <w:color w:val="243F60"/>
      <w:lang w:eastAsia="en-US"/>
    </w:rPr>
  </w:style>
  <w:style w:type="paragraph" w:customStyle="1" w:styleId="Ttulo41">
    <w:name w:val="Título 41"/>
    <w:basedOn w:val="Normal"/>
    <w:next w:val="Normal"/>
    <w:uiPriority w:val="99"/>
    <w:semiHidden/>
    <w:rsid w:val="00E65841"/>
    <w:pPr>
      <w:keepNext/>
      <w:keepLines/>
      <w:widowControl/>
      <w:spacing w:before="40" w:line="276" w:lineRule="auto"/>
      <w:jc w:val="left"/>
      <w:outlineLvl w:val="3"/>
    </w:pPr>
    <w:rPr>
      <w:rFonts w:ascii="Cambria" w:hAnsi="Cambria"/>
      <w:i/>
      <w:iCs/>
      <w:color w:val="365F91"/>
      <w:sz w:val="22"/>
      <w:szCs w:val="22"/>
      <w:lang w:eastAsia="en-US"/>
    </w:rPr>
  </w:style>
  <w:style w:type="character" w:customStyle="1" w:styleId="Hyperlink1">
    <w:name w:val="Hyperlink1"/>
    <w:uiPriority w:val="99"/>
    <w:rsid w:val="00E65841"/>
    <w:rPr>
      <w:rFonts w:cs="Times New Roman"/>
      <w:color w:val="0000FF"/>
      <w:u w:val="single"/>
    </w:rPr>
  </w:style>
  <w:style w:type="character" w:customStyle="1" w:styleId="Ttulo3Char1">
    <w:name w:val="Título 3 Char1"/>
    <w:uiPriority w:val="99"/>
    <w:semiHidden/>
    <w:rsid w:val="00E65841"/>
    <w:rPr>
      <w:rFonts w:ascii="Calibri Light" w:hAnsi="Calibri Light" w:cs="Times New Roman"/>
      <w:color w:val="1F4D78"/>
      <w:sz w:val="24"/>
      <w:szCs w:val="24"/>
    </w:rPr>
  </w:style>
  <w:style w:type="character" w:customStyle="1" w:styleId="Ttulo4Char1">
    <w:name w:val="Título 4 Char1"/>
    <w:uiPriority w:val="99"/>
    <w:semiHidden/>
    <w:rsid w:val="00E65841"/>
    <w:rPr>
      <w:rFonts w:ascii="Calibri Light" w:hAnsi="Calibri Light" w:cs="Times New Roman"/>
      <w:i/>
      <w:iCs/>
      <w:color w:val="2E74B5"/>
    </w:rPr>
  </w:style>
  <w:style w:type="character" w:customStyle="1" w:styleId="Ttulo2Char1">
    <w:name w:val="Título 2 Char1"/>
    <w:uiPriority w:val="99"/>
    <w:semiHidden/>
    <w:rsid w:val="00E65841"/>
    <w:rPr>
      <w:rFonts w:ascii="Calibri Light" w:hAnsi="Calibri Light" w:cs="Times New Roman"/>
      <w:color w:val="2E74B5"/>
      <w:sz w:val="26"/>
      <w:szCs w:val="26"/>
    </w:rPr>
  </w:style>
  <w:style w:type="table" w:customStyle="1" w:styleId="TableGrid">
    <w:name w:val="TableGrid"/>
    <w:uiPriority w:val="99"/>
    <w:rsid w:val="00E65841"/>
    <w:rPr>
      <w:rFonts w:ascii="Calibri" w:hAnsi="Calibri"/>
      <w:sz w:val="22"/>
      <w:szCs w:val="22"/>
    </w:rPr>
    <w:tblPr>
      <w:tblCellMar>
        <w:top w:w="0" w:type="dxa"/>
        <w:left w:w="0" w:type="dxa"/>
        <w:bottom w:w="0" w:type="dxa"/>
        <w:right w:w="0" w:type="dxa"/>
      </w:tblCellMar>
    </w:tblPr>
  </w:style>
  <w:style w:type="paragraph" w:styleId="Pr-formataoHTML">
    <w:name w:val="HTML Preformatted"/>
    <w:basedOn w:val="Normal"/>
    <w:link w:val="Pr-formataoHTMLChar"/>
    <w:uiPriority w:val="99"/>
    <w:rsid w:val="00E658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Pr-formataoHTMLChar">
    <w:name w:val="Pré-formatação HTML Char"/>
    <w:link w:val="Pr-formataoHTML"/>
    <w:uiPriority w:val="99"/>
    <w:rsid w:val="00E65841"/>
    <w:rPr>
      <w:rFonts w:ascii="Courier New" w:hAnsi="Courier New" w:cs="Courier New"/>
    </w:rPr>
  </w:style>
  <w:style w:type="paragraph" w:customStyle="1" w:styleId="msonormal0">
    <w:name w:val="msonormal"/>
    <w:basedOn w:val="Normal"/>
    <w:rsid w:val="00B739EE"/>
    <w:pPr>
      <w:widowControl/>
      <w:spacing w:before="100" w:beforeAutospacing="1" w:after="100" w:afterAutospacing="1" w:line="240" w:lineRule="auto"/>
      <w:ind w:firstLine="567"/>
    </w:pPr>
    <w:rPr>
      <w:lang w:val="en-US" w:eastAsia="en-US"/>
    </w:rPr>
  </w:style>
  <w:style w:type="character" w:customStyle="1" w:styleId="normalchar">
    <w:name w:val="normal__char"/>
    <w:rsid w:val="00B739EE"/>
  </w:style>
  <w:style w:type="character" w:customStyle="1" w:styleId="list0020paragraphchar">
    <w:name w:val="list_0020paragraph__char"/>
    <w:rsid w:val="00B739EE"/>
  </w:style>
  <w:style w:type="paragraph" w:customStyle="1" w:styleId="table0020grid">
    <w:name w:val="table_0020grid"/>
    <w:basedOn w:val="Normal"/>
    <w:rsid w:val="00B739EE"/>
    <w:pPr>
      <w:widowControl/>
      <w:spacing w:before="100" w:beforeAutospacing="1" w:after="100" w:afterAutospacing="1" w:line="240" w:lineRule="auto"/>
      <w:ind w:firstLine="567"/>
    </w:pPr>
    <w:rPr>
      <w:lang w:val="en-US" w:eastAsia="en-US"/>
    </w:rPr>
  </w:style>
  <w:style w:type="character" w:customStyle="1" w:styleId="table0020gridchar">
    <w:name w:val="table_0020grid__char"/>
    <w:rsid w:val="00B739EE"/>
  </w:style>
  <w:style w:type="paragraph" w:customStyle="1" w:styleId="list0020paragraph">
    <w:name w:val="list_0020paragraph"/>
    <w:basedOn w:val="Normal"/>
    <w:rsid w:val="00B739EE"/>
    <w:pPr>
      <w:widowControl/>
      <w:spacing w:before="100" w:beforeAutospacing="1" w:after="100" w:afterAutospacing="1" w:line="240" w:lineRule="auto"/>
      <w:ind w:firstLine="567"/>
    </w:pPr>
    <w:rPr>
      <w:lang w:val="en-US" w:eastAsia="en-US"/>
    </w:rPr>
  </w:style>
  <w:style w:type="paragraph" w:customStyle="1" w:styleId="normal0020table">
    <w:name w:val="normal_0020table"/>
    <w:basedOn w:val="Normal"/>
    <w:rsid w:val="00B739EE"/>
    <w:pPr>
      <w:widowControl/>
      <w:spacing w:before="100" w:beforeAutospacing="1" w:after="100" w:afterAutospacing="1" w:line="240" w:lineRule="auto"/>
      <w:ind w:firstLine="567"/>
    </w:pPr>
    <w:rPr>
      <w:lang w:val="en-US" w:eastAsia="en-US"/>
    </w:rPr>
  </w:style>
  <w:style w:type="character" w:customStyle="1" w:styleId="normal0020tablechar">
    <w:name w:val="normal_0020table__char"/>
    <w:rsid w:val="00B739EE"/>
  </w:style>
  <w:style w:type="character" w:customStyle="1" w:styleId="hyperlinkchar">
    <w:name w:val="hyperlink__char"/>
    <w:rsid w:val="00B739EE"/>
  </w:style>
  <w:style w:type="character" w:customStyle="1" w:styleId="Fontepargpadro1">
    <w:name w:val="Fonte parág. padrão1"/>
    <w:rsid w:val="007F46D6"/>
  </w:style>
  <w:style w:type="character" w:customStyle="1" w:styleId="Refdecomentrio2">
    <w:name w:val="Ref. de comentário2"/>
    <w:rsid w:val="007F46D6"/>
    <w:rPr>
      <w:sz w:val="16"/>
      <w:szCs w:val="16"/>
    </w:rPr>
  </w:style>
  <w:style w:type="character" w:customStyle="1" w:styleId="Refdecomentrio1">
    <w:name w:val="Ref. de comentário1"/>
    <w:rsid w:val="007F46D6"/>
    <w:rPr>
      <w:sz w:val="18"/>
      <w:szCs w:val="18"/>
    </w:rPr>
  </w:style>
  <w:style w:type="character" w:customStyle="1" w:styleId="Ttulo5Char">
    <w:name w:val="Título 5 Char"/>
    <w:rsid w:val="007F46D6"/>
    <w:rPr>
      <w:rFonts w:ascii="Calibri" w:eastAsia="Times New Roman" w:hAnsi="Calibri" w:cs="Times New Roman"/>
      <w:b/>
      <w:bCs/>
      <w:i/>
      <w:iCs/>
      <w:sz w:val="26"/>
      <w:szCs w:val="26"/>
    </w:rPr>
  </w:style>
  <w:style w:type="character" w:customStyle="1" w:styleId="Corpodetexto2Char">
    <w:name w:val="Corpo de texto 2 Char"/>
    <w:rsid w:val="007F46D6"/>
    <w:rPr>
      <w:sz w:val="22"/>
      <w:szCs w:val="22"/>
    </w:rPr>
  </w:style>
  <w:style w:type="character" w:customStyle="1" w:styleId="A21">
    <w:name w:val="A2+1"/>
    <w:rsid w:val="007F46D6"/>
    <w:rPr>
      <w:color w:val="000000"/>
      <w:szCs w:val="20"/>
    </w:rPr>
  </w:style>
  <w:style w:type="character" w:customStyle="1" w:styleId="MenoPendente1">
    <w:name w:val="Menção Pendente1"/>
    <w:uiPriority w:val="99"/>
    <w:rsid w:val="007F46D6"/>
    <w:rPr>
      <w:color w:val="808080"/>
      <w:shd w:val="clear" w:color="auto" w:fill="E6E6E6"/>
    </w:rPr>
  </w:style>
  <w:style w:type="character" w:customStyle="1" w:styleId="Caracteresdenotaderodap0">
    <w:name w:val="Caracteres de nota de rodapé"/>
    <w:rsid w:val="007F46D6"/>
    <w:rPr>
      <w:vertAlign w:val="superscript"/>
    </w:rPr>
  </w:style>
  <w:style w:type="character" w:customStyle="1" w:styleId="Caracteresdenotadefim0">
    <w:name w:val="Caracteres de nota de fim"/>
    <w:rsid w:val="007F46D6"/>
  </w:style>
  <w:style w:type="paragraph" w:customStyle="1" w:styleId="Textodecomentrio1">
    <w:name w:val="Texto de comentário1"/>
    <w:basedOn w:val="Normal"/>
    <w:rsid w:val="007F46D6"/>
    <w:pPr>
      <w:widowControl/>
      <w:suppressAutoHyphens/>
      <w:spacing w:after="200" w:line="276" w:lineRule="auto"/>
      <w:jc w:val="left"/>
    </w:pPr>
    <w:rPr>
      <w:rFonts w:ascii="Calibri" w:eastAsia="Calibri" w:hAnsi="Calibri"/>
      <w:sz w:val="20"/>
      <w:szCs w:val="20"/>
      <w:lang w:eastAsia="zh-CN"/>
    </w:rPr>
  </w:style>
  <w:style w:type="paragraph" w:customStyle="1" w:styleId="xl27">
    <w:name w:val="xl27"/>
    <w:basedOn w:val="Normal"/>
    <w:rsid w:val="007F46D6"/>
    <w:pPr>
      <w:widowControl/>
      <w:pBdr>
        <w:top w:val="none" w:sz="0" w:space="0" w:color="000000"/>
        <w:left w:val="single" w:sz="8" w:space="0" w:color="000000"/>
        <w:bottom w:val="none" w:sz="0" w:space="0" w:color="000000"/>
        <w:right w:val="single" w:sz="8" w:space="0" w:color="000000"/>
      </w:pBdr>
      <w:shd w:val="clear" w:color="auto" w:fill="FFFFFF"/>
      <w:suppressAutoHyphens/>
      <w:spacing w:before="280" w:after="280" w:line="240" w:lineRule="auto"/>
      <w:jc w:val="left"/>
    </w:pPr>
    <w:rPr>
      <w:rFonts w:eastAsia="Arial Unicode MS"/>
      <w:b/>
      <w:bCs/>
      <w:color w:val="000000"/>
      <w:lang w:eastAsia="zh-CN"/>
    </w:rPr>
  </w:style>
  <w:style w:type="paragraph" w:customStyle="1" w:styleId="xl28">
    <w:name w:val="xl28"/>
    <w:basedOn w:val="Normal"/>
    <w:rsid w:val="007F46D6"/>
    <w:pPr>
      <w:widowControl/>
      <w:pBdr>
        <w:top w:val="single" w:sz="8" w:space="0" w:color="000000"/>
        <w:left w:val="none" w:sz="0" w:space="0" w:color="000000"/>
        <w:bottom w:val="none" w:sz="0" w:space="0" w:color="000000"/>
        <w:right w:val="none" w:sz="0" w:space="0" w:color="000000"/>
      </w:pBdr>
      <w:shd w:val="clear" w:color="auto" w:fill="FFFFFF"/>
      <w:suppressAutoHyphens/>
      <w:spacing w:before="280" w:after="280" w:line="240" w:lineRule="auto"/>
      <w:jc w:val="left"/>
    </w:pPr>
    <w:rPr>
      <w:rFonts w:eastAsia="Arial Unicode MS"/>
      <w:lang w:eastAsia="zh-CN"/>
    </w:rPr>
  </w:style>
  <w:style w:type="paragraph" w:customStyle="1" w:styleId="xl29">
    <w:name w:val="xl29"/>
    <w:basedOn w:val="Normal"/>
    <w:rsid w:val="007F46D6"/>
    <w:pPr>
      <w:widowControl/>
      <w:shd w:val="clear" w:color="auto" w:fill="FFFFFF"/>
      <w:suppressAutoHyphens/>
      <w:spacing w:before="280" w:after="280" w:line="240" w:lineRule="auto"/>
      <w:jc w:val="left"/>
    </w:pPr>
    <w:rPr>
      <w:rFonts w:eastAsia="Arial Unicode MS"/>
      <w:color w:val="000000"/>
      <w:lang w:eastAsia="zh-CN"/>
    </w:rPr>
  </w:style>
  <w:style w:type="paragraph" w:customStyle="1" w:styleId="Ttulodetabela">
    <w:name w:val="Título de tabela"/>
    <w:basedOn w:val="Contedodatabela"/>
    <w:rsid w:val="007F46D6"/>
    <w:pPr>
      <w:spacing w:after="200" w:line="276" w:lineRule="auto"/>
      <w:jc w:val="center"/>
    </w:pPr>
    <w:rPr>
      <w:rFonts w:ascii="Calibri" w:eastAsia="Calibri" w:hAnsi="Calibri"/>
      <w:b/>
      <w:bCs/>
      <w:sz w:val="22"/>
      <w:szCs w:val="22"/>
      <w:lang w:eastAsia="zh-CN"/>
    </w:rPr>
  </w:style>
  <w:style w:type="character" w:customStyle="1" w:styleId="orcid-id-https">
    <w:name w:val="orcid-id-https"/>
    <w:rsid w:val="007F46D6"/>
  </w:style>
  <w:style w:type="character" w:customStyle="1" w:styleId="lrzxr">
    <w:name w:val="lrzxr"/>
    <w:rsid w:val="00C960EA"/>
  </w:style>
  <w:style w:type="character" w:customStyle="1" w:styleId="A2">
    <w:name w:val="A2"/>
    <w:uiPriority w:val="99"/>
    <w:rsid w:val="000968D2"/>
    <w:rPr>
      <w:color w:val="000000"/>
    </w:rPr>
  </w:style>
  <w:style w:type="paragraph" w:customStyle="1" w:styleId="indent-para">
    <w:name w:val="indent-para"/>
    <w:basedOn w:val="Normal"/>
    <w:rsid w:val="000968D2"/>
    <w:pPr>
      <w:widowControl/>
      <w:spacing w:before="100" w:beforeAutospacing="1" w:after="100" w:afterAutospacing="1" w:line="240" w:lineRule="auto"/>
      <w:jc w:val="left"/>
    </w:pPr>
  </w:style>
  <w:style w:type="paragraph" w:customStyle="1" w:styleId="Pa15">
    <w:name w:val="Pa15"/>
    <w:basedOn w:val="Normal"/>
    <w:next w:val="Normal"/>
    <w:uiPriority w:val="99"/>
    <w:rsid w:val="000968D2"/>
    <w:pPr>
      <w:widowControl/>
      <w:autoSpaceDE w:val="0"/>
      <w:autoSpaceDN w:val="0"/>
      <w:adjustRightInd w:val="0"/>
      <w:spacing w:line="151" w:lineRule="atLeast"/>
      <w:jc w:val="left"/>
    </w:pPr>
    <w:rPr>
      <w:rFonts w:ascii="Optima" w:eastAsia="Calibri" w:hAnsi="Optima"/>
      <w:lang w:eastAsia="en-US"/>
    </w:rPr>
  </w:style>
  <w:style w:type="paragraph" w:customStyle="1" w:styleId="TableParagraph">
    <w:name w:val="Table Paragraph"/>
    <w:basedOn w:val="Normal"/>
    <w:uiPriority w:val="1"/>
    <w:qFormat/>
    <w:rsid w:val="000968D2"/>
    <w:pPr>
      <w:spacing w:line="223" w:lineRule="exact"/>
      <w:jc w:val="left"/>
    </w:pPr>
    <w:rPr>
      <w:sz w:val="22"/>
      <w:szCs w:val="22"/>
      <w:lang w:val="en-US" w:eastAsia="en-US"/>
    </w:rPr>
  </w:style>
  <w:style w:type="character" w:customStyle="1" w:styleId="MenoPendente10">
    <w:name w:val="Menção Pendente1"/>
    <w:unhideWhenUsed/>
    <w:rsid w:val="000968D2"/>
    <w:rPr>
      <w:color w:val="808080"/>
      <w:shd w:val="clear" w:color="auto" w:fill="E6E6E6"/>
    </w:rPr>
  </w:style>
  <w:style w:type="paragraph" w:customStyle="1" w:styleId="Pa23">
    <w:name w:val="Pa23"/>
    <w:basedOn w:val="Default"/>
    <w:next w:val="Default"/>
    <w:uiPriority w:val="99"/>
    <w:rsid w:val="000968D2"/>
    <w:pPr>
      <w:spacing w:line="161" w:lineRule="atLeast"/>
    </w:pPr>
    <w:rPr>
      <w:rFonts w:ascii="GothamLight" w:eastAsia="Calibri" w:hAnsi="GothamLight" w:cs="Times New Roman"/>
      <w:color w:val="auto"/>
      <w:lang w:eastAsia="en-US"/>
    </w:rPr>
  </w:style>
  <w:style w:type="character" w:customStyle="1" w:styleId="MenoPendente2">
    <w:name w:val="Menção Pendente2"/>
    <w:uiPriority w:val="99"/>
    <w:semiHidden/>
    <w:unhideWhenUsed/>
    <w:rsid w:val="000968D2"/>
    <w:rPr>
      <w:color w:val="808080"/>
      <w:shd w:val="clear" w:color="auto" w:fill="E6E6E6"/>
    </w:rPr>
  </w:style>
  <w:style w:type="character" w:customStyle="1" w:styleId="ff1">
    <w:name w:val="ff1"/>
    <w:rsid w:val="000968D2"/>
  </w:style>
  <w:style w:type="character" w:customStyle="1" w:styleId="ff4">
    <w:name w:val="ff4"/>
    <w:rsid w:val="000968D2"/>
  </w:style>
  <w:style w:type="character" w:customStyle="1" w:styleId="UnresolvedMention1">
    <w:name w:val="Unresolved Mention1"/>
    <w:uiPriority w:val="99"/>
    <w:semiHidden/>
    <w:unhideWhenUsed/>
    <w:rsid w:val="00AF03B8"/>
    <w:rPr>
      <w:color w:val="808080"/>
      <w:shd w:val="clear" w:color="auto" w:fill="E6E6E6"/>
    </w:rPr>
  </w:style>
  <w:style w:type="character" w:customStyle="1" w:styleId="normaltextrun">
    <w:name w:val="normaltextrun"/>
    <w:rsid w:val="00AF03B8"/>
  </w:style>
  <w:style w:type="character" w:customStyle="1" w:styleId="spellingerror">
    <w:name w:val="spellingerror"/>
    <w:rsid w:val="00AF03B8"/>
  </w:style>
  <w:style w:type="character" w:customStyle="1" w:styleId="eop">
    <w:name w:val="eop"/>
    <w:rsid w:val="00AF03B8"/>
  </w:style>
  <w:style w:type="table" w:customStyle="1" w:styleId="Calendar1">
    <w:name w:val="Calendar 1"/>
    <w:basedOn w:val="Tabelanormal"/>
    <w:uiPriority w:val="99"/>
    <w:qFormat/>
    <w:rsid w:val="00883F94"/>
    <w:rPr>
      <w:rFonts w:asciiTheme="minorHAnsi" w:eastAsiaTheme="minorEastAsia" w:hAnsiTheme="minorHAnsi" w:cstheme="minorBidi"/>
      <w:sz w:val="22"/>
      <w:szCs w:val="22"/>
      <w:lang w:val="pt-PT"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customStyle="1" w:styleId="ListaClara1">
    <w:name w:val="Lista Clara1"/>
    <w:basedOn w:val="Tabelanormal"/>
    <w:uiPriority w:val="61"/>
    <w:rsid w:val="00883F94"/>
    <w:rPr>
      <w:rFonts w:asciiTheme="minorHAnsi" w:eastAsiaTheme="minorEastAsia" w:hAnsiTheme="minorHAnsi" w:cstheme="minorBidi"/>
      <w:sz w:val="22"/>
      <w:szCs w:val="22"/>
      <w:lang w:val="pt-PT"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Estilo3Char">
    <w:name w:val="Estilo3 Char"/>
    <w:link w:val="Estilo3"/>
    <w:rsid w:val="0093489D"/>
    <w:rPr>
      <w:rFonts w:ascii="Arial" w:hAnsi="Arial"/>
      <w:sz w:val="18"/>
    </w:rPr>
  </w:style>
  <w:style w:type="character" w:customStyle="1" w:styleId="WW8Num1z0">
    <w:name w:val="WW8Num1z0"/>
    <w:rsid w:val="00974170"/>
    <w:rPr>
      <w:rFonts w:ascii="Symbol" w:hAnsi="Symbol" w:cs="Symbol" w:hint="default"/>
      <w:sz w:val="20"/>
    </w:rPr>
  </w:style>
  <w:style w:type="character" w:customStyle="1" w:styleId="WW8Num1z1">
    <w:name w:val="WW8Num1z1"/>
    <w:rsid w:val="00974170"/>
    <w:rPr>
      <w:rFonts w:ascii="Courier New" w:hAnsi="Courier New" w:cs="Courier New" w:hint="default"/>
      <w:sz w:val="20"/>
    </w:rPr>
  </w:style>
  <w:style w:type="character" w:customStyle="1" w:styleId="WW8Num1z2">
    <w:name w:val="WW8Num1z2"/>
    <w:rsid w:val="00974170"/>
    <w:rPr>
      <w:rFonts w:ascii="Wingdings" w:hAnsi="Wingdings" w:cs="Wingdings" w:hint="default"/>
      <w:sz w:val="20"/>
    </w:rPr>
  </w:style>
  <w:style w:type="paragraph" w:customStyle="1" w:styleId="ListaColorida-nfase11">
    <w:name w:val="Lista Colorida - Ênfase 11"/>
    <w:basedOn w:val="Normal"/>
    <w:uiPriority w:val="34"/>
    <w:qFormat/>
    <w:rsid w:val="00974170"/>
    <w:pPr>
      <w:widowControl/>
      <w:suppressAutoHyphens/>
      <w:spacing w:after="200" w:line="276" w:lineRule="auto"/>
      <w:ind w:left="720"/>
      <w:contextualSpacing/>
      <w:jc w:val="left"/>
    </w:pPr>
    <w:rPr>
      <w:rFonts w:ascii="Calibri" w:eastAsia="Calibri" w:hAnsi="Calibri"/>
      <w:sz w:val="22"/>
      <w:szCs w:val="22"/>
      <w:lang w:eastAsia="zh-CN"/>
    </w:rPr>
  </w:style>
  <w:style w:type="paragraph" w:customStyle="1" w:styleId="Pa5">
    <w:name w:val="Pa5"/>
    <w:basedOn w:val="Normal"/>
    <w:next w:val="Normal"/>
    <w:uiPriority w:val="99"/>
    <w:rsid w:val="00974170"/>
    <w:pPr>
      <w:widowControl/>
      <w:suppressAutoHyphens/>
      <w:autoSpaceDE w:val="0"/>
      <w:spacing w:line="191" w:lineRule="atLeast"/>
      <w:jc w:val="left"/>
    </w:pPr>
    <w:rPr>
      <w:rFonts w:ascii="Myriad Pro" w:eastAsia="Calibri" w:hAnsi="Myriad Pro"/>
      <w:lang w:eastAsia="zh-CN"/>
    </w:rPr>
  </w:style>
  <w:style w:type="character" w:customStyle="1" w:styleId="TextodecomentrioChar1">
    <w:name w:val="Texto de comentário Char1"/>
    <w:uiPriority w:val="99"/>
    <w:semiHidden/>
    <w:rsid w:val="00974170"/>
    <w:rPr>
      <w:rFonts w:ascii="Calibri" w:eastAsia="Calibri" w:hAnsi="Calibri"/>
      <w:lang w:eastAsia="zh-CN"/>
    </w:rPr>
  </w:style>
  <w:style w:type="numbering" w:customStyle="1" w:styleId="Semlista1">
    <w:name w:val="Sem lista1"/>
    <w:next w:val="Semlista"/>
    <w:uiPriority w:val="99"/>
    <w:semiHidden/>
    <w:unhideWhenUsed/>
    <w:rsid w:val="00C2521F"/>
  </w:style>
  <w:style w:type="paragraph" w:customStyle="1" w:styleId="Fonte">
    <w:name w:val="Fonte"/>
    <w:basedOn w:val="Normal"/>
    <w:link w:val="FonteChar"/>
    <w:qFormat/>
    <w:rsid w:val="00C2521F"/>
    <w:pPr>
      <w:widowControl/>
      <w:spacing w:line="240" w:lineRule="auto"/>
      <w:ind w:firstLine="709"/>
    </w:pPr>
  </w:style>
  <w:style w:type="character" w:customStyle="1" w:styleId="FonteChar">
    <w:name w:val="Fonte Char"/>
    <w:basedOn w:val="Fontepargpadro"/>
    <w:link w:val="Fonte"/>
    <w:rsid w:val="00C2521F"/>
    <w:rPr>
      <w:sz w:val="24"/>
      <w:szCs w:val="24"/>
    </w:rPr>
  </w:style>
  <w:style w:type="character" w:customStyle="1" w:styleId="Ttulo6Char">
    <w:name w:val="Título 6 Char"/>
    <w:basedOn w:val="Fontepargpadro"/>
    <w:link w:val="Ttulo6"/>
    <w:rsid w:val="00C2521F"/>
    <w:rPr>
      <w:b/>
      <w:bCs/>
      <w:sz w:val="22"/>
      <w:szCs w:val="22"/>
    </w:rPr>
  </w:style>
  <w:style w:type="table" w:customStyle="1" w:styleId="Tabelacomgrade1">
    <w:name w:val="Tabela com grade1"/>
    <w:basedOn w:val="Tabelanormal"/>
    <w:next w:val="Tabelacomgrade"/>
    <w:uiPriority w:val="39"/>
    <w:rsid w:val="00C2521F"/>
    <w:pPr>
      <w:spacing w:after="80"/>
      <w:jc w:val="center"/>
    </w:pPr>
    <w:rPr>
      <w:rFonts w:eastAsia="Calibr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es">
    <w:name w:val="Citações"/>
    <w:basedOn w:val="Normal"/>
    <w:rsid w:val="00C2521F"/>
    <w:pPr>
      <w:widowControl/>
      <w:spacing w:before="240" w:after="240" w:line="240" w:lineRule="auto"/>
      <w:ind w:left="2268"/>
    </w:pPr>
    <w:rPr>
      <w:kern w:val="32"/>
      <w:sz w:val="20"/>
    </w:rPr>
  </w:style>
  <w:style w:type="paragraph" w:styleId="Lista2">
    <w:name w:val="List 2"/>
    <w:basedOn w:val="Normal"/>
    <w:unhideWhenUsed/>
    <w:rsid w:val="00C2521F"/>
    <w:pPr>
      <w:widowControl/>
      <w:spacing w:line="240" w:lineRule="auto"/>
      <w:ind w:left="566" w:hanging="283"/>
      <w:contextualSpacing/>
      <w:jc w:val="center"/>
    </w:pPr>
  </w:style>
  <w:style w:type="paragraph" w:customStyle="1" w:styleId="TextoFiguraeTabela">
    <w:name w:val="Texto Figura e Tabela"/>
    <w:basedOn w:val="Normal"/>
    <w:rsid w:val="00C2521F"/>
    <w:pPr>
      <w:widowControl/>
      <w:spacing w:before="60" w:line="240" w:lineRule="auto"/>
      <w:jc w:val="center"/>
    </w:pPr>
    <w:rPr>
      <w:rFonts w:ascii="Arial" w:hAnsi="Arial" w:cs="Arial"/>
      <w:sz w:val="20"/>
      <w:szCs w:val="20"/>
    </w:rPr>
  </w:style>
  <w:style w:type="paragraph" w:customStyle="1" w:styleId="TtuloFiguraetabela">
    <w:name w:val="Título Figura e tabela"/>
    <w:basedOn w:val="Normal"/>
    <w:rsid w:val="00C2521F"/>
    <w:pPr>
      <w:keepNext/>
      <w:widowControl/>
      <w:spacing w:before="240" w:after="240" w:line="240" w:lineRule="auto"/>
      <w:jc w:val="center"/>
    </w:pPr>
    <w:rPr>
      <w:rFonts w:cs="Arial"/>
    </w:rPr>
  </w:style>
  <w:style w:type="paragraph" w:styleId="MapadoDocumento">
    <w:name w:val="Document Map"/>
    <w:basedOn w:val="Normal"/>
    <w:link w:val="MapadoDocumentoChar"/>
    <w:uiPriority w:val="99"/>
    <w:unhideWhenUsed/>
    <w:rsid w:val="00C2521F"/>
    <w:pPr>
      <w:widowControl/>
      <w:spacing w:after="80" w:line="240" w:lineRule="auto"/>
      <w:jc w:val="center"/>
    </w:pPr>
    <w:rPr>
      <w:rFonts w:ascii="Tahoma" w:eastAsia="Calibri" w:hAnsi="Tahoma"/>
      <w:sz w:val="16"/>
      <w:szCs w:val="16"/>
      <w:lang w:eastAsia="en-US"/>
    </w:rPr>
  </w:style>
  <w:style w:type="character" w:customStyle="1" w:styleId="MapadoDocumentoChar">
    <w:name w:val="Mapa do Documento Char"/>
    <w:basedOn w:val="Fontepargpadro"/>
    <w:link w:val="MapadoDocumento"/>
    <w:uiPriority w:val="99"/>
    <w:rsid w:val="00C2521F"/>
    <w:rPr>
      <w:rFonts w:ascii="Tahoma" w:eastAsia="Calibri" w:hAnsi="Tahoma"/>
      <w:sz w:val="16"/>
      <w:szCs w:val="16"/>
      <w:lang w:eastAsia="en-US"/>
    </w:rPr>
  </w:style>
  <w:style w:type="table" w:styleId="ListaClara-nfase2">
    <w:name w:val="Light List Accent 2"/>
    <w:basedOn w:val="Tabelanormal"/>
    <w:uiPriority w:val="61"/>
    <w:rsid w:val="00C2521F"/>
    <w:pPr>
      <w:spacing w:after="80"/>
      <w:jc w:val="center"/>
    </w:pPr>
    <w:rPr>
      <w:rFonts w:eastAsia="Calibri"/>
      <w:sz w:val="28"/>
      <w:szCs w:val="28"/>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olorida-nfase2">
    <w:name w:val="Colorful List Accent 2"/>
    <w:basedOn w:val="Tabelanormal"/>
    <w:uiPriority w:val="68"/>
    <w:rsid w:val="00C2521F"/>
    <w:pPr>
      <w:spacing w:after="80"/>
      <w:jc w:val="center"/>
    </w:pPr>
    <w:rPr>
      <w:rFonts w:ascii="Cambria" w:hAnsi="Cambria"/>
      <w:color w:val="000000"/>
      <w:sz w:val="28"/>
      <w:szCs w:val="28"/>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GradeColorida-nfase5">
    <w:name w:val="Colorful Grid Accent 5"/>
    <w:basedOn w:val="Tabelanormal"/>
    <w:uiPriority w:val="69"/>
    <w:rsid w:val="00C2521F"/>
    <w:pPr>
      <w:spacing w:after="80"/>
      <w:jc w:val="center"/>
    </w:pPr>
    <w:rPr>
      <w:rFonts w:eastAsia="Calibri"/>
      <w:sz w:val="28"/>
      <w:szCs w:val="28"/>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paragraph" w:customStyle="1" w:styleId="ListaColorida-nfase12">
    <w:name w:val="Lista Colorida - Ênfase 12"/>
    <w:basedOn w:val="Normal"/>
    <w:uiPriority w:val="34"/>
    <w:qFormat/>
    <w:rsid w:val="00C2521F"/>
    <w:pPr>
      <w:widowControl/>
      <w:spacing w:after="100" w:line="240" w:lineRule="auto"/>
      <w:ind w:left="720"/>
      <w:contextualSpacing/>
      <w:jc w:val="center"/>
    </w:pPr>
    <w:rPr>
      <w:rFonts w:eastAsia="MS Mincho"/>
      <w:sz w:val="28"/>
      <w:szCs w:val="28"/>
    </w:rPr>
  </w:style>
  <w:style w:type="character" w:customStyle="1" w:styleId="CabealhoChar1">
    <w:name w:val="Cabeçalho Char1"/>
    <w:uiPriority w:val="99"/>
    <w:rsid w:val="00C2521F"/>
    <w:rPr>
      <w:sz w:val="22"/>
      <w:szCs w:val="22"/>
      <w:lang w:eastAsia="en-US"/>
    </w:rPr>
  </w:style>
  <w:style w:type="paragraph" w:customStyle="1" w:styleId="CabealhodoSumrio1">
    <w:name w:val="Cabeçalho do Sumário1"/>
    <w:basedOn w:val="Ttulo1"/>
    <w:next w:val="Normal"/>
    <w:uiPriority w:val="39"/>
    <w:unhideWhenUsed/>
    <w:qFormat/>
    <w:rsid w:val="00C2521F"/>
    <w:pPr>
      <w:keepNext/>
      <w:keepLines/>
      <w:widowControl/>
      <w:spacing w:after="0" w:line="259" w:lineRule="auto"/>
      <w:jc w:val="center"/>
      <w:outlineLvl w:val="9"/>
    </w:pPr>
    <w:rPr>
      <w:rFonts w:ascii="Calibri Light" w:eastAsia="Yu Gothic Light" w:hAnsi="Calibri Light"/>
      <w:b w:val="0"/>
      <w:caps w:val="0"/>
      <w:color w:val="2E74B5"/>
      <w:sz w:val="32"/>
      <w:szCs w:val="32"/>
      <w:lang w:val="pt-BR" w:eastAsia="pt-BR"/>
    </w:rPr>
  </w:style>
  <w:style w:type="paragraph" w:styleId="Sumrio3">
    <w:name w:val="toc 3"/>
    <w:basedOn w:val="Normal"/>
    <w:next w:val="Normal"/>
    <w:autoRedefine/>
    <w:uiPriority w:val="39"/>
    <w:unhideWhenUsed/>
    <w:rsid w:val="00C2521F"/>
    <w:pPr>
      <w:widowControl/>
      <w:spacing w:after="100"/>
      <w:ind w:left="480" w:firstLine="709"/>
    </w:pPr>
    <w:rPr>
      <w:rFonts w:eastAsia="Calibri"/>
      <w:lang w:eastAsia="en-US"/>
    </w:rPr>
  </w:style>
  <w:style w:type="table" w:customStyle="1" w:styleId="Tabelacomgrade11">
    <w:name w:val="Tabela com grade11"/>
    <w:basedOn w:val="Tabelanormal"/>
    <w:next w:val="Tabelacomgrade"/>
    <w:uiPriority w:val="59"/>
    <w:rsid w:val="00C25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
    <w:name w:val="Sem lista11"/>
    <w:next w:val="Semlista"/>
    <w:uiPriority w:val="99"/>
    <w:semiHidden/>
    <w:unhideWhenUsed/>
    <w:rsid w:val="00C2521F"/>
  </w:style>
  <w:style w:type="table" w:customStyle="1" w:styleId="TableNormal">
    <w:name w:val="Table Normal"/>
    <w:rsid w:val="00C2521F"/>
    <w:pPr>
      <w:spacing w:line="360" w:lineRule="auto"/>
      <w:ind w:firstLine="709"/>
      <w:jc w:val="both"/>
    </w:pPr>
    <w:rPr>
      <w:sz w:val="24"/>
      <w:szCs w:val="24"/>
    </w:rPr>
    <w:tblPr>
      <w:tblCellMar>
        <w:top w:w="0" w:type="dxa"/>
        <w:left w:w="0" w:type="dxa"/>
        <w:bottom w:w="0" w:type="dxa"/>
        <w:right w:w="0" w:type="dxa"/>
      </w:tblCellMar>
    </w:tblPr>
  </w:style>
  <w:style w:type="character" w:customStyle="1" w:styleId="TtuloChar">
    <w:name w:val="Título Char"/>
    <w:basedOn w:val="Fontepargpadro"/>
    <w:link w:val="Ttulo"/>
    <w:rsid w:val="00C2521F"/>
    <w:rPr>
      <w:b/>
      <w:caps/>
      <w:sz w:val="24"/>
      <w:szCs w:val="24"/>
      <w:lang w:val="pt-PT"/>
    </w:rPr>
  </w:style>
  <w:style w:type="table" w:customStyle="1" w:styleId="Tabelacomgrade2">
    <w:name w:val="Tabela com grade2"/>
    <w:basedOn w:val="Tabelanormal"/>
    <w:next w:val="Tabelacomgrade"/>
    <w:uiPriority w:val="39"/>
    <w:rsid w:val="00C2521F"/>
    <w:pPr>
      <w:ind w:firstLine="709"/>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cuodecorpodetexto2Char">
    <w:name w:val="Recuo de corpo de texto 2 Char"/>
    <w:basedOn w:val="Fontepargpadro"/>
    <w:link w:val="Recuodecorpodetexto2"/>
    <w:rsid w:val="00C2521F"/>
    <w:rPr>
      <w:sz w:val="24"/>
      <w:szCs w:val="24"/>
      <w:lang w:eastAsia="zh-CN"/>
    </w:rPr>
  </w:style>
  <w:style w:type="paragraph" w:styleId="Textoembloco">
    <w:name w:val="Block Text"/>
    <w:basedOn w:val="Normal"/>
    <w:rsid w:val="00C2521F"/>
    <w:pPr>
      <w:widowControl/>
      <w:autoSpaceDE w:val="0"/>
      <w:spacing w:line="480" w:lineRule="auto"/>
      <w:ind w:left="360" w:right="72"/>
    </w:pPr>
    <w:rPr>
      <w:i/>
      <w:iCs/>
    </w:rPr>
  </w:style>
  <w:style w:type="paragraph" w:customStyle="1" w:styleId="Figura">
    <w:name w:val="Figura"/>
    <w:basedOn w:val="Corpodetexto"/>
    <w:next w:val="Legenda"/>
    <w:rsid w:val="00C2521F"/>
    <w:pPr>
      <w:spacing w:before="240"/>
      <w:jc w:val="center"/>
    </w:pPr>
    <w:rPr>
      <w:szCs w:val="20"/>
      <w:lang w:val="it-IT" w:eastAsia="pt-BR"/>
    </w:rPr>
  </w:style>
  <w:style w:type="paragraph" w:customStyle="1" w:styleId="Referencias">
    <w:name w:val="Referencias"/>
    <w:basedOn w:val="Normal"/>
    <w:autoRedefine/>
    <w:rsid w:val="00C2521F"/>
    <w:pPr>
      <w:widowControl/>
      <w:spacing w:after="240" w:line="480" w:lineRule="auto"/>
    </w:pPr>
    <w:rPr>
      <w:b/>
      <w:bCs/>
      <w:color w:val="000000"/>
      <w:szCs w:val="20"/>
      <w:lang w:val="fr-FR"/>
    </w:rPr>
  </w:style>
  <w:style w:type="paragraph" w:customStyle="1" w:styleId="TabelaCabealho">
    <w:name w:val="Tabela Cabeçalho"/>
    <w:basedOn w:val="Corpodetexto"/>
    <w:rsid w:val="00C2521F"/>
    <w:pPr>
      <w:jc w:val="center"/>
    </w:pPr>
    <w:rPr>
      <w:b/>
      <w:sz w:val="20"/>
      <w:szCs w:val="20"/>
      <w:lang w:val="it-IT" w:eastAsia="pt-BR"/>
    </w:rPr>
  </w:style>
  <w:style w:type="paragraph" w:customStyle="1" w:styleId="TabelaCorpo">
    <w:name w:val="Tabela Corpo"/>
    <w:basedOn w:val="TabelaCabealho"/>
    <w:rsid w:val="00C2521F"/>
    <w:pPr>
      <w:ind w:left="317" w:hanging="317"/>
      <w:jc w:val="both"/>
    </w:pPr>
    <w:rPr>
      <w:b w:val="0"/>
    </w:rPr>
  </w:style>
  <w:style w:type="paragraph" w:customStyle="1" w:styleId="TabelaEspaamento">
    <w:name w:val="Tabela Espaçamento"/>
    <w:basedOn w:val="TabelaCabealho"/>
    <w:rsid w:val="00C2521F"/>
    <w:rPr>
      <w:sz w:val="12"/>
      <w:szCs w:val="12"/>
    </w:rPr>
  </w:style>
  <w:style w:type="paragraph" w:styleId="Commarcadores">
    <w:name w:val="List Bullet"/>
    <w:basedOn w:val="Normal"/>
    <w:uiPriority w:val="99"/>
    <w:unhideWhenUsed/>
    <w:rsid w:val="00C2521F"/>
    <w:pPr>
      <w:widowControl/>
      <w:tabs>
        <w:tab w:val="num" w:pos="1428"/>
      </w:tabs>
      <w:spacing w:line="240" w:lineRule="auto"/>
      <w:ind w:left="1428" w:hanging="360"/>
      <w:contextualSpacing/>
      <w:jc w:val="left"/>
    </w:pPr>
  </w:style>
  <w:style w:type="character" w:customStyle="1" w:styleId="AssuntodocomentrioChar1">
    <w:name w:val="Assunto do comentário Char1"/>
    <w:basedOn w:val="TextodecomentrioChar"/>
    <w:uiPriority w:val="99"/>
    <w:semiHidden/>
    <w:rsid w:val="00C2521F"/>
    <w:rPr>
      <w:rFonts w:ascii="Times New Roman" w:eastAsia="Calibri" w:hAnsi="Times New Roman" w:cs="Times New Roman"/>
      <w:b/>
      <w:bCs/>
      <w:sz w:val="20"/>
      <w:szCs w:val="20"/>
      <w:lang w:eastAsia="en-US"/>
    </w:rPr>
  </w:style>
  <w:style w:type="character" w:customStyle="1" w:styleId="shorttext">
    <w:name w:val="short_text"/>
    <w:basedOn w:val="Fontepargpadro"/>
    <w:rsid w:val="00C2521F"/>
  </w:style>
  <w:style w:type="character" w:customStyle="1" w:styleId="st">
    <w:name w:val="st"/>
    <w:basedOn w:val="Fontepargpadro"/>
    <w:rsid w:val="00C2521F"/>
  </w:style>
  <w:style w:type="character" w:customStyle="1" w:styleId="TextodenotadefimChar1">
    <w:name w:val="Texto de nota de fim Char1"/>
    <w:basedOn w:val="Fontepargpadro"/>
    <w:uiPriority w:val="99"/>
    <w:semiHidden/>
    <w:rsid w:val="00C2521F"/>
    <w:rPr>
      <w:sz w:val="20"/>
      <w:szCs w:val="20"/>
    </w:rPr>
  </w:style>
  <w:style w:type="character" w:customStyle="1" w:styleId="A0">
    <w:name w:val="A0"/>
    <w:uiPriority w:val="99"/>
    <w:rsid w:val="00C2521F"/>
    <w:rPr>
      <w:rFonts w:cs="Helvetica LT"/>
      <w:color w:val="000000"/>
      <w:sz w:val="22"/>
      <w:szCs w:val="22"/>
    </w:rPr>
  </w:style>
  <w:style w:type="numbering" w:customStyle="1" w:styleId="Semlista2">
    <w:name w:val="Sem lista2"/>
    <w:next w:val="Semlista"/>
    <w:uiPriority w:val="99"/>
    <w:semiHidden/>
    <w:unhideWhenUsed/>
    <w:rsid w:val="00A33AF3"/>
  </w:style>
  <w:style w:type="numbering" w:customStyle="1" w:styleId="Semlista3">
    <w:name w:val="Sem lista3"/>
    <w:next w:val="Semlista"/>
    <w:uiPriority w:val="99"/>
    <w:semiHidden/>
    <w:unhideWhenUsed/>
    <w:rsid w:val="00A33AF3"/>
  </w:style>
  <w:style w:type="table" w:customStyle="1" w:styleId="Tabelacomgrade3">
    <w:name w:val="Tabela com grade3"/>
    <w:basedOn w:val="Tabelanormal"/>
    <w:next w:val="Tabelacomgrade"/>
    <w:uiPriority w:val="39"/>
    <w:rsid w:val="00A33AF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4">
    <w:name w:val="Sem lista4"/>
    <w:next w:val="Semlista"/>
    <w:uiPriority w:val="99"/>
    <w:semiHidden/>
    <w:unhideWhenUsed/>
    <w:rsid w:val="006B566E"/>
  </w:style>
  <w:style w:type="table" w:customStyle="1" w:styleId="Tabelacomgrade4">
    <w:name w:val="Tabela com grade4"/>
    <w:basedOn w:val="Tabelanormal"/>
    <w:next w:val="Tabelacomgrade"/>
    <w:uiPriority w:val="39"/>
    <w:rsid w:val="006B566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bealhodoSumrio2">
    <w:name w:val="Cabeçalho do Sumário2"/>
    <w:basedOn w:val="Ttulo1"/>
    <w:next w:val="Normal"/>
    <w:uiPriority w:val="39"/>
    <w:unhideWhenUsed/>
    <w:qFormat/>
    <w:rsid w:val="006B566E"/>
    <w:pPr>
      <w:keepNext/>
      <w:keepLines/>
      <w:widowControl/>
      <w:spacing w:after="0" w:line="259" w:lineRule="auto"/>
      <w:jc w:val="left"/>
      <w:outlineLvl w:val="9"/>
    </w:pPr>
    <w:rPr>
      <w:rFonts w:ascii="Calibri Light" w:hAnsi="Calibri Light"/>
      <w:b w:val="0"/>
      <w:caps w:val="0"/>
      <w:color w:val="2E74B5"/>
      <w:sz w:val="32"/>
      <w:szCs w:val="32"/>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7981">
      <w:bodyDiv w:val="1"/>
      <w:marLeft w:val="0"/>
      <w:marRight w:val="0"/>
      <w:marTop w:val="0"/>
      <w:marBottom w:val="0"/>
      <w:divBdr>
        <w:top w:val="none" w:sz="0" w:space="0" w:color="auto"/>
        <w:left w:val="none" w:sz="0" w:space="0" w:color="auto"/>
        <w:bottom w:val="none" w:sz="0" w:space="0" w:color="auto"/>
        <w:right w:val="none" w:sz="0" w:space="0" w:color="auto"/>
      </w:divBdr>
    </w:div>
    <w:div w:id="20908031">
      <w:bodyDiv w:val="1"/>
      <w:marLeft w:val="0"/>
      <w:marRight w:val="0"/>
      <w:marTop w:val="0"/>
      <w:marBottom w:val="0"/>
      <w:divBdr>
        <w:top w:val="none" w:sz="0" w:space="0" w:color="auto"/>
        <w:left w:val="none" w:sz="0" w:space="0" w:color="auto"/>
        <w:bottom w:val="none" w:sz="0" w:space="0" w:color="auto"/>
        <w:right w:val="none" w:sz="0" w:space="0" w:color="auto"/>
      </w:divBdr>
    </w:div>
    <w:div w:id="21785382">
      <w:bodyDiv w:val="1"/>
      <w:marLeft w:val="0"/>
      <w:marRight w:val="0"/>
      <w:marTop w:val="0"/>
      <w:marBottom w:val="0"/>
      <w:divBdr>
        <w:top w:val="none" w:sz="0" w:space="0" w:color="auto"/>
        <w:left w:val="none" w:sz="0" w:space="0" w:color="auto"/>
        <w:bottom w:val="none" w:sz="0" w:space="0" w:color="auto"/>
        <w:right w:val="none" w:sz="0" w:space="0" w:color="auto"/>
      </w:divBdr>
    </w:div>
    <w:div w:id="37171868">
      <w:bodyDiv w:val="1"/>
      <w:marLeft w:val="0"/>
      <w:marRight w:val="0"/>
      <w:marTop w:val="0"/>
      <w:marBottom w:val="0"/>
      <w:divBdr>
        <w:top w:val="none" w:sz="0" w:space="0" w:color="auto"/>
        <w:left w:val="none" w:sz="0" w:space="0" w:color="auto"/>
        <w:bottom w:val="none" w:sz="0" w:space="0" w:color="auto"/>
        <w:right w:val="none" w:sz="0" w:space="0" w:color="auto"/>
      </w:divBdr>
    </w:div>
    <w:div w:id="85463717">
      <w:bodyDiv w:val="1"/>
      <w:marLeft w:val="0"/>
      <w:marRight w:val="0"/>
      <w:marTop w:val="0"/>
      <w:marBottom w:val="0"/>
      <w:divBdr>
        <w:top w:val="none" w:sz="0" w:space="0" w:color="auto"/>
        <w:left w:val="none" w:sz="0" w:space="0" w:color="auto"/>
        <w:bottom w:val="none" w:sz="0" w:space="0" w:color="auto"/>
        <w:right w:val="none" w:sz="0" w:space="0" w:color="auto"/>
      </w:divBdr>
    </w:div>
    <w:div w:id="115224209">
      <w:bodyDiv w:val="1"/>
      <w:marLeft w:val="0"/>
      <w:marRight w:val="0"/>
      <w:marTop w:val="0"/>
      <w:marBottom w:val="0"/>
      <w:divBdr>
        <w:top w:val="none" w:sz="0" w:space="0" w:color="auto"/>
        <w:left w:val="none" w:sz="0" w:space="0" w:color="auto"/>
        <w:bottom w:val="none" w:sz="0" w:space="0" w:color="auto"/>
        <w:right w:val="none" w:sz="0" w:space="0" w:color="auto"/>
      </w:divBdr>
    </w:div>
    <w:div w:id="132866717">
      <w:bodyDiv w:val="1"/>
      <w:marLeft w:val="0"/>
      <w:marRight w:val="0"/>
      <w:marTop w:val="0"/>
      <w:marBottom w:val="0"/>
      <w:divBdr>
        <w:top w:val="none" w:sz="0" w:space="0" w:color="auto"/>
        <w:left w:val="none" w:sz="0" w:space="0" w:color="auto"/>
        <w:bottom w:val="none" w:sz="0" w:space="0" w:color="auto"/>
        <w:right w:val="none" w:sz="0" w:space="0" w:color="auto"/>
      </w:divBdr>
    </w:div>
    <w:div w:id="150368429">
      <w:bodyDiv w:val="1"/>
      <w:marLeft w:val="0"/>
      <w:marRight w:val="0"/>
      <w:marTop w:val="0"/>
      <w:marBottom w:val="0"/>
      <w:divBdr>
        <w:top w:val="none" w:sz="0" w:space="0" w:color="auto"/>
        <w:left w:val="none" w:sz="0" w:space="0" w:color="auto"/>
        <w:bottom w:val="none" w:sz="0" w:space="0" w:color="auto"/>
        <w:right w:val="none" w:sz="0" w:space="0" w:color="auto"/>
      </w:divBdr>
    </w:div>
    <w:div w:id="244847790">
      <w:bodyDiv w:val="1"/>
      <w:marLeft w:val="0"/>
      <w:marRight w:val="0"/>
      <w:marTop w:val="0"/>
      <w:marBottom w:val="0"/>
      <w:divBdr>
        <w:top w:val="none" w:sz="0" w:space="0" w:color="auto"/>
        <w:left w:val="none" w:sz="0" w:space="0" w:color="auto"/>
        <w:bottom w:val="none" w:sz="0" w:space="0" w:color="auto"/>
        <w:right w:val="none" w:sz="0" w:space="0" w:color="auto"/>
      </w:divBdr>
    </w:div>
    <w:div w:id="318383187">
      <w:bodyDiv w:val="1"/>
      <w:marLeft w:val="0"/>
      <w:marRight w:val="0"/>
      <w:marTop w:val="0"/>
      <w:marBottom w:val="0"/>
      <w:divBdr>
        <w:top w:val="none" w:sz="0" w:space="0" w:color="auto"/>
        <w:left w:val="none" w:sz="0" w:space="0" w:color="auto"/>
        <w:bottom w:val="none" w:sz="0" w:space="0" w:color="auto"/>
        <w:right w:val="none" w:sz="0" w:space="0" w:color="auto"/>
      </w:divBdr>
    </w:div>
    <w:div w:id="335882190">
      <w:bodyDiv w:val="1"/>
      <w:marLeft w:val="0"/>
      <w:marRight w:val="0"/>
      <w:marTop w:val="0"/>
      <w:marBottom w:val="0"/>
      <w:divBdr>
        <w:top w:val="none" w:sz="0" w:space="0" w:color="auto"/>
        <w:left w:val="none" w:sz="0" w:space="0" w:color="auto"/>
        <w:bottom w:val="none" w:sz="0" w:space="0" w:color="auto"/>
        <w:right w:val="none" w:sz="0" w:space="0" w:color="auto"/>
      </w:divBdr>
    </w:div>
    <w:div w:id="388115048">
      <w:bodyDiv w:val="1"/>
      <w:marLeft w:val="0"/>
      <w:marRight w:val="0"/>
      <w:marTop w:val="0"/>
      <w:marBottom w:val="0"/>
      <w:divBdr>
        <w:top w:val="none" w:sz="0" w:space="0" w:color="auto"/>
        <w:left w:val="none" w:sz="0" w:space="0" w:color="auto"/>
        <w:bottom w:val="none" w:sz="0" w:space="0" w:color="auto"/>
        <w:right w:val="none" w:sz="0" w:space="0" w:color="auto"/>
      </w:divBdr>
    </w:div>
    <w:div w:id="418068194">
      <w:bodyDiv w:val="1"/>
      <w:marLeft w:val="0"/>
      <w:marRight w:val="0"/>
      <w:marTop w:val="0"/>
      <w:marBottom w:val="0"/>
      <w:divBdr>
        <w:top w:val="none" w:sz="0" w:space="0" w:color="auto"/>
        <w:left w:val="none" w:sz="0" w:space="0" w:color="auto"/>
        <w:bottom w:val="none" w:sz="0" w:space="0" w:color="auto"/>
        <w:right w:val="none" w:sz="0" w:space="0" w:color="auto"/>
      </w:divBdr>
    </w:div>
    <w:div w:id="463502009">
      <w:bodyDiv w:val="1"/>
      <w:marLeft w:val="0"/>
      <w:marRight w:val="0"/>
      <w:marTop w:val="0"/>
      <w:marBottom w:val="0"/>
      <w:divBdr>
        <w:top w:val="none" w:sz="0" w:space="0" w:color="auto"/>
        <w:left w:val="none" w:sz="0" w:space="0" w:color="auto"/>
        <w:bottom w:val="none" w:sz="0" w:space="0" w:color="auto"/>
        <w:right w:val="none" w:sz="0" w:space="0" w:color="auto"/>
      </w:divBdr>
    </w:div>
    <w:div w:id="487404138">
      <w:bodyDiv w:val="1"/>
      <w:marLeft w:val="0"/>
      <w:marRight w:val="0"/>
      <w:marTop w:val="0"/>
      <w:marBottom w:val="0"/>
      <w:divBdr>
        <w:top w:val="none" w:sz="0" w:space="0" w:color="auto"/>
        <w:left w:val="none" w:sz="0" w:space="0" w:color="auto"/>
        <w:bottom w:val="none" w:sz="0" w:space="0" w:color="auto"/>
        <w:right w:val="none" w:sz="0" w:space="0" w:color="auto"/>
      </w:divBdr>
    </w:div>
    <w:div w:id="495925966">
      <w:bodyDiv w:val="1"/>
      <w:marLeft w:val="0"/>
      <w:marRight w:val="0"/>
      <w:marTop w:val="0"/>
      <w:marBottom w:val="0"/>
      <w:divBdr>
        <w:top w:val="none" w:sz="0" w:space="0" w:color="auto"/>
        <w:left w:val="none" w:sz="0" w:space="0" w:color="auto"/>
        <w:bottom w:val="none" w:sz="0" w:space="0" w:color="auto"/>
        <w:right w:val="none" w:sz="0" w:space="0" w:color="auto"/>
      </w:divBdr>
    </w:div>
    <w:div w:id="575406551">
      <w:bodyDiv w:val="1"/>
      <w:marLeft w:val="0"/>
      <w:marRight w:val="0"/>
      <w:marTop w:val="0"/>
      <w:marBottom w:val="0"/>
      <w:divBdr>
        <w:top w:val="none" w:sz="0" w:space="0" w:color="auto"/>
        <w:left w:val="none" w:sz="0" w:space="0" w:color="auto"/>
        <w:bottom w:val="none" w:sz="0" w:space="0" w:color="auto"/>
        <w:right w:val="none" w:sz="0" w:space="0" w:color="auto"/>
      </w:divBdr>
    </w:div>
    <w:div w:id="588924798">
      <w:bodyDiv w:val="1"/>
      <w:marLeft w:val="0"/>
      <w:marRight w:val="0"/>
      <w:marTop w:val="0"/>
      <w:marBottom w:val="0"/>
      <w:divBdr>
        <w:top w:val="none" w:sz="0" w:space="0" w:color="auto"/>
        <w:left w:val="none" w:sz="0" w:space="0" w:color="auto"/>
        <w:bottom w:val="none" w:sz="0" w:space="0" w:color="auto"/>
        <w:right w:val="none" w:sz="0" w:space="0" w:color="auto"/>
      </w:divBdr>
    </w:div>
    <w:div w:id="596640331">
      <w:bodyDiv w:val="1"/>
      <w:marLeft w:val="0"/>
      <w:marRight w:val="0"/>
      <w:marTop w:val="0"/>
      <w:marBottom w:val="0"/>
      <w:divBdr>
        <w:top w:val="none" w:sz="0" w:space="0" w:color="auto"/>
        <w:left w:val="none" w:sz="0" w:space="0" w:color="auto"/>
        <w:bottom w:val="none" w:sz="0" w:space="0" w:color="auto"/>
        <w:right w:val="none" w:sz="0" w:space="0" w:color="auto"/>
      </w:divBdr>
    </w:div>
    <w:div w:id="620654143">
      <w:bodyDiv w:val="1"/>
      <w:marLeft w:val="0"/>
      <w:marRight w:val="0"/>
      <w:marTop w:val="0"/>
      <w:marBottom w:val="0"/>
      <w:divBdr>
        <w:top w:val="none" w:sz="0" w:space="0" w:color="auto"/>
        <w:left w:val="none" w:sz="0" w:space="0" w:color="auto"/>
        <w:bottom w:val="none" w:sz="0" w:space="0" w:color="auto"/>
        <w:right w:val="none" w:sz="0" w:space="0" w:color="auto"/>
      </w:divBdr>
    </w:div>
    <w:div w:id="634916581">
      <w:bodyDiv w:val="1"/>
      <w:marLeft w:val="0"/>
      <w:marRight w:val="0"/>
      <w:marTop w:val="0"/>
      <w:marBottom w:val="0"/>
      <w:divBdr>
        <w:top w:val="none" w:sz="0" w:space="0" w:color="auto"/>
        <w:left w:val="none" w:sz="0" w:space="0" w:color="auto"/>
        <w:bottom w:val="none" w:sz="0" w:space="0" w:color="auto"/>
        <w:right w:val="none" w:sz="0" w:space="0" w:color="auto"/>
      </w:divBdr>
    </w:div>
    <w:div w:id="650523191">
      <w:bodyDiv w:val="1"/>
      <w:marLeft w:val="0"/>
      <w:marRight w:val="0"/>
      <w:marTop w:val="0"/>
      <w:marBottom w:val="0"/>
      <w:divBdr>
        <w:top w:val="none" w:sz="0" w:space="0" w:color="auto"/>
        <w:left w:val="none" w:sz="0" w:space="0" w:color="auto"/>
        <w:bottom w:val="none" w:sz="0" w:space="0" w:color="auto"/>
        <w:right w:val="none" w:sz="0" w:space="0" w:color="auto"/>
      </w:divBdr>
    </w:div>
    <w:div w:id="676348437">
      <w:bodyDiv w:val="1"/>
      <w:marLeft w:val="0"/>
      <w:marRight w:val="0"/>
      <w:marTop w:val="0"/>
      <w:marBottom w:val="0"/>
      <w:divBdr>
        <w:top w:val="none" w:sz="0" w:space="0" w:color="auto"/>
        <w:left w:val="none" w:sz="0" w:space="0" w:color="auto"/>
        <w:bottom w:val="none" w:sz="0" w:space="0" w:color="auto"/>
        <w:right w:val="none" w:sz="0" w:space="0" w:color="auto"/>
      </w:divBdr>
    </w:div>
    <w:div w:id="681082717">
      <w:bodyDiv w:val="1"/>
      <w:marLeft w:val="0"/>
      <w:marRight w:val="0"/>
      <w:marTop w:val="0"/>
      <w:marBottom w:val="0"/>
      <w:divBdr>
        <w:top w:val="none" w:sz="0" w:space="0" w:color="auto"/>
        <w:left w:val="none" w:sz="0" w:space="0" w:color="auto"/>
        <w:bottom w:val="none" w:sz="0" w:space="0" w:color="auto"/>
        <w:right w:val="none" w:sz="0" w:space="0" w:color="auto"/>
      </w:divBdr>
    </w:div>
    <w:div w:id="773524999">
      <w:bodyDiv w:val="1"/>
      <w:marLeft w:val="0"/>
      <w:marRight w:val="0"/>
      <w:marTop w:val="0"/>
      <w:marBottom w:val="0"/>
      <w:divBdr>
        <w:top w:val="none" w:sz="0" w:space="0" w:color="auto"/>
        <w:left w:val="none" w:sz="0" w:space="0" w:color="auto"/>
        <w:bottom w:val="none" w:sz="0" w:space="0" w:color="auto"/>
        <w:right w:val="none" w:sz="0" w:space="0" w:color="auto"/>
      </w:divBdr>
    </w:div>
    <w:div w:id="817384289">
      <w:bodyDiv w:val="1"/>
      <w:marLeft w:val="0"/>
      <w:marRight w:val="0"/>
      <w:marTop w:val="0"/>
      <w:marBottom w:val="0"/>
      <w:divBdr>
        <w:top w:val="none" w:sz="0" w:space="0" w:color="auto"/>
        <w:left w:val="none" w:sz="0" w:space="0" w:color="auto"/>
        <w:bottom w:val="none" w:sz="0" w:space="0" w:color="auto"/>
        <w:right w:val="none" w:sz="0" w:space="0" w:color="auto"/>
      </w:divBdr>
    </w:div>
    <w:div w:id="847712762">
      <w:bodyDiv w:val="1"/>
      <w:marLeft w:val="0"/>
      <w:marRight w:val="0"/>
      <w:marTop w:val="0"/>
      <w:marBottom w:val="0"/>
      <w:divBdr>
        <w:top w:val="none" w:sz="0" w:space="0" w:color="auto"/>
        <w:left w:val="none" w:sz="0" w:space="0" w:color="auto"/>
        <w:bottom w:val="none" w:sz="0" w:space="0" w:color="auto"/>
        <w:right w:val="none" w:sz="0" w:space="0" w:color="auto"/>
      </w:divBdr>
      <w:divsChild>
        <w:div w:id="309753866">
          <w:marLeft w:val="120"/>
          <w:marRight w:val="120"/>
          <w:marTop w:val="45"/>
          <w:marBottom w:val="0"/>
          <w:divBdr>
            <w:top w:val="none" w:sz="0" w:space="0" w:color="auto"/>
            <w:left w:val="none" w:sz="0" w:space="0" w:color="auto"/>
            <w:bottom w:val="none" w:sz="0" w:space="0" w:color="auto"/>
            <w:right w:val="none" w:sz="0" w:space="0" w:color="auto"/>
          </w:divBdr>
          <w:divsChild>
            <w:div w:id="4495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9579">
      <w:bodyDiv w:val="1"/>
      <w:marLeft w:val="0"/>
      <w:marRight w:val="0"/>
      <w:marTop w:val="0"/>
      <w:marBottom w:val="0"/>
      <w:divBdr>
        <w:top w:val="none" w:sz="0" w:space="0" w:color="auto"/>
        <w:left w:val="none" w:sz="0" w:space="0" w:color="auto"/>
        <w:bottom w:val="none" w:sz="0" w:space="0" w:color="auto"/>
        <w:right w:val="none" w:sz="0" w:space="0" w:color="auto"/>
      </w:divBdr>
    </w:div>
    <w:div w:id="862280027">
      <w:bodyDiv w:val="1"/>
      <w:marLeft w:val="0"/>
      <w:marRight w:val="0"/>
      <w:marTop w:val="0"/>
      <w:marBottom w:val="0"/>
      <w:divBdr>
        <w:top w:val="none" w:sz="0" w:space="0" w:color="auto"/>
        <w:left w:val="none" w:sz="0" w:space="0" w:color="auto"/>
        <w:bottom w:val="none" w:sz="0" w:space="0" w:color="auto"/>
        <w:right w:val="none" w:sz="0" w:space="0" w:color="auto"/>
      </w:divBdr>
    </w:div>
    <w:div w:id="877931076">
      <w:bodyDiv w:val="1"/>
      <w:marLeft w:val="0"/>
      <w:marRight w:val="0"/>
      <w:marTop w:val="0"/>
      <w:marBottom w:val="0"/>
      <w:divBdr>
        <w:top w:val="none" w:sz="0" w:space="0" w:color="auto"/>
        <w:left w:val="none" w:sz="0" w:space="0" w:color="auto"/>
        <w:bottom w:val="none" w:sz="0" w:space="0" w:color="auto"/>
        <w:right w:val="none" w:sz="0" w:space="0" w:color="auto"/>
      </w:divBdr>
    </w:div>
    <w:div w:id="898132214">
      <w:bodyDiv w:val="1"/>
      <w:marLeft w:val="0"/>
      <w:marRight w:val="0"/>
      <w:marTop w:val="0"/>
      <w:marBottom w:val="0"/>
      <w:divBdr>
        <w:top w:val="none" w:sz="0" w:space="0" w:color="auto"/>
        <w:left w:val="none" w:sz="0" w:space="0" w:color="auto"/>
        <w:bottom w:val="none" w:sz="0" w:space="0" w:color="auto"/>
        <w:right w:val="none" w:sz="0" w:space="0" w:color="auto"/>
      </w:divBdr>
    </w:div>
    <w:div w:id="910164649">
      <w:bodyDiv w:val="1"/>
      <w:marLeft w:val="0"/>
      <w:marRight w:val="0"/>
      <w:marTop w:val="0"/>
      <w:marBottom w:val="0"/>
      <w:divBdr>
        <w:top w:val="none" w:sz="0" w:space="0" w:color="auto"/>
        <w:left w:val="none" w:sz="0" w:space="0" w:color="auto"/>
        <w:bottom w:val="none" w:sz="0" w:space="0" w:color="auto"/>
        <w:right w:val="none" w:sz="0" w:space="0" w:color="auto"/>
      </w:divBdr>
    </w:div>
    <w:div w:id="1026447665">
      <w:bodyDiv w:val="1"/>
      <w:marLeft w:val="0"/>
      <w:marRight w:val="0"/>
      <w:marTop w:val="0"/>
      <w:marBottom w:val="0"/>
      <w:divBdr>
        <w:top w:val="none" w:sz="0" w:space="0" w:color="auto"/>
        <w:left w:val="none" w:sz="0" w:space="0" w:color="auto"/>
        <w:bottom w:val="none" w:sz="0" w:space="0" w:color="auto"/>
        <w:right w:val="none" w:sz="0" w:space="0" w:color="auto"/>
      </w:divBdr>
      <w:divsChild>
        <w:div w:id="1784956828">
          <w:marLeft w:val="120"/>
          <w:marRight w:val="120"/>
          <w:marTop w:val="45"/>
          <w:marBottom w:val="0"/>
          <w:divBdr>
            <w:top w:val="none" w:sz="0" w:space="0" w:color="auto"/>
            <w:left w:val="none" w:sz="0" w:space="0" w:color="auto"/>
            <w:bottom w:val="none" w:sz="0" w:space="0" w:color="auto"/>
            <w:right w:val="none" w:sz="0" w:space="0" w:color="auto"/>
          </w:divBdr>
          <w:divsChild>
            <w:div w:id="13615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605">
      <w:bodyDiv w:val="1"/>
      <w:marLeft w:val="0"/>
      <w:marRight w:val="0"/>
      <w:marTop w:val="0"/>
      <w:marBottom w:val="0"/>
      <w:divBdr>
        <w:top w:val="none" w:sz="0" w:space="0" w:color="auto"/>
        <w:left w:val="none" w:sz="0" w:space="0" w:color="auto"/>
        <w:bottom w:val="none" w:sz="0" w:space="0" w:color="auto"/>
        <w:right w:val="none" w:sz="0" w:space="0" w:color="auto"/>
      </w:divBdr>
    </w:div>
    <w:div w:id="1063790377">
      <w:bodyDiv w:val="1"/>
      <w:marLeft w:val="0"/>
      <w:marRight w:val="0"/>
      <w:marTop w:val="0"/>
      <w:marBottom w:val="0"/>
      <w:divBdr>
        <w:top w:val="none" w:sz="0" w:space="0" w:color="auto"/>
        <w:left w:val="none" w:sz="0" w:space="0" w:color="auto"/>
        <w:bottom w:val="none" w:sz="0" w:space="0" w:color="auto"/>
        <w:right w:val="none" w:sz="0" w:space="0" w:color="auto"/>
      </w:divBdr>
    </w:div>
    <w:div w:id="1070881334">
      <w:bodyDiv w:val="1"/>
      <w:marLeft w:val="0"/>
      <w:marRight w:val="0"/>
      <w:marTop w:val="0"/>
      <w:marBottom w:val="0"/>
      <w:divBdr>
        <w:top w:val="none" w:sz="0" w:space="0" w:color="auto"/>
        <w:left w:val="none" w:sz="0" w:space="0" w:color="auto"/>
        <w:bottom w:val="none" w:sz="0" w:space="0" w:color="auto"/>
        <w:right w:val="none" w:sz="0" w:space="0" w:color="auto"/>
      </w:divBdr>
    </w:div>
    <w:div w:id="1079710425">
      <w:bodyDiv w:val="1"/>
      <w:marLeft w:val="0"/>
      <w:marRight w:val="0"/>
      <w:marTop w:val="0"/>
      <w:marBottom w:val="0"/>
      <w:divBdr>
        <w:top w:val="none" w:sz="0" w:space="0" w:color="auto"/>
        <w:left w:val="none" w:sz="0" w:space="0" w:color="auto"/>
        <w:bottom w:val="none" w:sz="0" w:space="0" w:color="auto"/>
        <w:right w:val="none" w:sz="0" w:space="0" w:color="auto"/>
      </w:divBdr>
    </w:div>
    <w:div w:id="1087120476">
      <w:bodyDiv w:val="1"/>
      <w:marLeft w:val="0"/>
      <w:marRight w:val="0"/>
      <w:marTop w:val="0"/>
      <w:marBottom w:val="0"/>
      <w:divBdr>
        <w:top w:val="none" w:sz="0" w:space="0" w:color="auto"/>
        <w:left w:val="none" w:sz="0" w:space="0" w:color="auto"/>
        <w:bottom w:val="none" w:sz="0" w:space="0" w:color="auto"/>
        <w:right w:val="none" w:sz="0" w:space="0" w:color="auto"/>
      </w:divBdr>
    </w:div>
    <w:div w:id="1091660523">
      <w:bodyDiv w:val="1"/>
      <w:marLeft w:val="0"/>
      <w:marRight w:val="0"/>
      <w:marTop w:val="0"/>
      <w:marBottom w:val="0"/>
      <w:divBdr>
        <w:top w:val="none" w:sz="0" w:space="0" w:color="auto"/>
        <w:left w:val="none" w:sz="0" w:space="0" w:color="auto"/>
        <w:bottom w:val="none" w:sz="0" w:space="0" w:color="auto"/>
        <w:right w:val="none" w:sz="0" w:space="0" w:color="auto"/>
      </w:divBdr>
    </w:div>
    <w:div w:id="1095515540">
      <w:bodyDiv w:val="1"/>
      <w:marLeft w:val="0"/>
      <w:marRight w:val="0"/>
      <w:marTop w:val="0"/>
      <w:marBottom w:val="0"/>
      <w:divBdr>
        <w:top w:val="none" w:sz="0" w:space="0" w:color="auto"/>
        <w:left w:val="none" w:sz="0" w:space="0" w:color="auto"/>
        <w:bottom w:val="none" w:sz="0" w:space="0" w:color="auto"/>
        <w:right w:val="none" w:sz="0" w:space="0" w:color="auto"/>
      </w:divBdr>
    </w:div>
    <w:div w:id="1103064481">
      <w:bodyDiv w:val="1"/>
      <w:marLeft w:val="0"/>
      <w:marRight w:val="0"/>
      <w:marTop w:val="0"/>
      <w:marBottom w:val="0"/>
      <w:divBdr>
        <w:top w:val="none" w:sz="0" w:space="0" w:color="auto"/>
        <w:left w:val="none" w:sz="0" w:space="0" w:color="auto"/>
        <w:bottom w:val="none" w:sz="0" w:space="0" w:color="auto"/>
        <w:right w:val="none" w:sz="0" w:space="0" w:color="auto"/>
      </w:divBdr>
    </w:div>
    <w:div w:id="1135486673">
      <w:bodyDiv w:val="1"/>
      <w:marLeft w:val="0"/>
      <w:marRight w:val="0"/>
      <w:marTop w:val="0"/>
      <w:marBottom w:val="0"/>
      <w:divBdr>
        <w:top w:val="none" w:sz="0" w:space="0" w:color="auto"/>
        <w:left w:val="none" w:sz="0" w:space="0" w:color="auto"/>
        <w:bottom w:val="none" w:sz="0" w:space="0" w:color="auto"/>
        <w:right w:val="none" w:sz="0" w:space="0" w:color="auto"/>
      </w:divBdr>
    </w:div>
    <w:div w:id="1137606453">
      <w:bodyDiv w:val="1"/>
      <w:marLeft w:val="0"/>
      <w:marRight w:val="0"/>
      <w:marTop w:val="0"/>
      <w:marBottom w:val="0"/>
      <w:divBdr>
        <w:top w:val="none" w:sz="0" w:space="0" w:color="auto"/>
        <w:left w:val="none" w:sz="0" w:space="0" w:color="auto"/>
        <w:bottom w:val="none" w:sz="0" w:space="0" w:color="auto"/>
        <w:right w:val="none" w:sz="0" w:space="0" w:color="auto"/>
      </w:divBdr>
    </w:div>
    <w:div w:id="1153184202">
      <w:bodyDiv w:val="1"/>
      <w:marLeft w:val="0"/>
      <w:marRight w:val="0"/>
      <w:marTop w:val="0"/>
      <w:marBottom w:val="0"/>
      <w:divBdr>
        <w:top w:val="none" w:sz="0" w:space="0" w:color="auto"/>
        <w:left w:val="none" w:sz="0" w:space="0" w:color="auto"/>
        <w:bottom w:val="none" w:sz="0" w:space="0" w:color="auto"/>
        <w:right w:val="none" w:sz="0" w:space="0" w:color="auto"/>
      </w:divBdr>
    </w:div>
    <w:div w:id="1236940500">
      <w:bodyDiv w:val="1"/>
      <w:marLeft w:val="0"/>
      <w:marRight w:val="0"/>
      <w:marTop w:val="0"/>
      <w:marBottom w:val="0"/>
      <w:divBdr>
        <w:top w:val="none" w:sz="0" w:space="0" w:color="auto"/>
        <w:left w:val="none" w:sz="0" w:space="0" w:color="auto"/>
        <w:bottom w:val="none" w:sz="0" w:space="0" w:color="auto"/>
        <w:right w:val="none" w:sz="0" w:space="0" w:color="auto"/>
      </w:divBdr>
    </w:div>
    <w:div w:id="1321353068">
      <w:bodyDiv w:val="1"/>
      <w:marLeft w:val="0"/>
      <w:marRight w:val="0"/>
      <w:marTop w:val="0"/>
      <w:marBottom w:val="0"/>
      <w:divBdr>
        <w:top w:val="none" w:sz="0" w:space="0" w:color="auto"/>
        <w:left w:val="none" w:sz="0" w:space="0" w:color="auto"/>
        <w:bottom w:val="none" w:sz="0" w:space="0" w:color="auto"/>
        <w:right w:val="none" w:sz="0" w:space="0" w:color="auto"/>
      </w:divBdr>
    </w:div>
    <w:div w:id="1321424383">
      <w:bodyDiv w:val="1"/>
      <w:marLeft w:val="0"/>
      <w:marRight w:val="0"/>
      <w:marTop w:val="0"/>
      <w:marBottom w:val="0"/>
      <w:divBdr>
        <w:top w:val="none" w:sz="0" w:space="0" w:color="auto"/>
        <w:left w:val="none" w:sz="0" w:space="0" w:color="auto"/>
        <w:bottom w:val="none" w:sz="0" w:space="0" w:color="auto"/>
        <w:right w:val="none" w:sz="0" w:space="0" w:color="auto"/>
      </w:divBdr>
    </w:div>
    <w:div w:id="1386562247">
      <w:bodyDiv w:val="1"/>
      <w:marLeft w:val="0"/>
      <w:marRight w:val="0"/>
      <w:marTop w:val="0"/>
      <w:marBottom w:val="0"/>
      <w:divBdr>
        <w:top w:val="none" w:sz="0" w:space="0" w:color="auto"/>
        <w:left w:val="none" w:sz="0" w:space="0" w:color="auto"/>
        <w:bottom w:val="none" w:sz="0" w:space="0" w:color="auto"/>
        <w:right w:val="none" w:sz="0" w:space="0" w:color="auto"/>
      </w:divBdr>
    </w:div>
    <w:div w:id="1419668212">
      <w:bodyDiv w:val="1"/>
      <w:marLeft w:val="0"/>
      <w:marRight w:val="0"/>
      <w:marTop w:val="0"/>
      <w:marBottom w:val="0"/>
      <w:divBdr>
        <w:top w:val="none" w:sz="0" w:space="0" w:color="auto"/>
        <w:left w:val="none" w:sz="0" w:space="0" w:color="auto"/>
        <w:bottom w:val="none" w:sz="0" w:space="0" w:color="auto"/>
        <w:right w:val="none" w:sz="0" w:space="0" w:color="auto"/>
      </w:divBdr>
    </w:div>
    <w:div w:id="1421609442">
      <w:bodyDiv w:val="1"/>
      <w:marLeft w:val="0"/>
      <w:marRight w:val="0"/>
      <w:marTop w:val="0"/>
      <w:marBottom w:val="0"/>
      <w:divBdr>
        <w:top w:val="none" w:sz="0" w:space="0" w:color="auto"/>
        <w:left w:val="none" w:sz="0" w:space="0" w:color="auto"/>
        <w:bottom w:val="none" w:sz="0" w:space="0" w:color="auto"/>
        <w:right w:val="none" w:sz="0" w:space="0" w:color="auto"/>
      </w:divBdr>
    </w:div>
    <w:div w:id="1431007584">
      <w:bodyDiv w:val="1"/>
      <w:marLeft w:val="0"/>
      <w:marRight w:val="0"/>
      <w:marTop w:val="0"/>
      <w:marBottom w:val="0"/>
      <w:divBdr>
        <w:top w:val="none" w:sz="0" w:space="0" w:color="auto"/>
        <w:left w:val="none" w:sz="0" w:space="0" w:color="auto"/>
        <w:bottom w:val="none" w:sz="0" w:space="0" w:color="auto"/>
        <w:right w:val="none" w:sz="0" w:space="0" w:color="auto"/>
      </w:divBdr>
    </w:div>
    <w:div w:id="1490905102">
      <w:bodyDiv w:val="1"/>
      <w:marLeft w:val="0"/>
      <w:marRight w:val="0"/>
      <w:marTop w:val="0"/>
      <w:marBottom w:val="0"/>
      <w:divBdr>
        <w:top w:val="none" w:sz="0" w:space="0" w:color="auto"/>
        <w:left w:val="none" w:sz="0" w:space="0" w:color="auto"/>
        <w:bottom w:val="none" w:sz="0" w:space="0" w:color="auto"/>
        <w:right w:val="none" w:sz="0" w:space="0" w:color="auto"/>
      </w:divBdr>
    </w:div>
    <w:div w:id="1506822743">
      <w:bodyDiv w:val="1"/>
      <w:marLeft w:val="0"/>
      <w:marRight w:val="0"/>
      <w:marTop w:val="0"/>
      <w:marBottom w:val="0"/>
      <w:divBdr>
        <w:top w:val="none" w:sz="0" w:space="0" w:color="auto"/>
        <w:left w:val="none" w:sz="0" w:space="0" w:color="auto"/>
        <w:bottom w:val="none" w:sz="0" w:space="0" w:color="auto"/>
        <w:right w:val="none" w:sz="0" w:space="0" w:color="auto"/>
      </w:divBdr>
    </w:div>
    <w:div w:id="1507213284">
      <w:bodyDiv w:val="1"/>
      <w:marLeft w:val="0"/>
      <w:marRight w:val="0"/>
      <w:marTop w:val="0"/>
      <w:marBottom w:val="0"/>
      <w:divBdr>
        <w:top w:val="none" w:sz="0" w:space="0" w:color="auto"/>
        <w:left w:val="none" w:sz="0" w:space="0" w:color="auto"/>
        <w:bottom w:val="none" w:sz="0" w:space="0" w:color="auto"/>
        <w:right w:val="none" w:sz="0" w:space="0" w:color="auto"/>
      </w:divBdr>
    </w:div>
    <w:div w:id="1522670097">
      <w:bodyDiv w:val="1"/>
      <w:marLeft w:val="0"/>
      <w:marRight w:val="0"/>
      <w:marTop w:val="0"/>
      <w:marBottom w:val="0"/>
      <w:divBdr>
        <w:top w:val="none" w:sz="0" w:space="0" w:color="auto"/>
        <w:left w:val="none" w:sz="0" w:space="0" w:color="auto"/>
        <w:bottom w:val="none" w:sz="0" w:space="0" w:color="auto"/>
        <w:right w:val="none" w:sz="0" w:space="0" w:color="auto"/>
      </w:divBdr>
    </w:div>
    <w:div w:id="1591963837">
      <w:bodyDiv w:val="1"/>
      <w:marLeft w:val="0"/>
      <w:marRight w:val="0"/>
      <w:marTop w:val="0"/>
      <w:marBottom w:val="0"/>
      <w:divBdr>
        <w:top w:val="none" w:sz="0" w:space="0" w:color="auto"/>
        <w:left w:val="none" w:sz="0" w:space="0" w:color="auto"/>
        <w:bottom w:val="none" w:sz="0" w:space="0" w:color="auto"/>
        <w:right w:val="none" w:sz="0" w:space="0" w:color="auto"/>
      </w:divBdr>
    </w:div>
    <w:div w:id="1639605174">
      <w:bodyDiv w:val="1"/>
      <w:marLeft w:val="0"/>
      <w:marRight w:val="0"/>
      <w:marTop w:val="0"/>
      <w:marBottom w:val="0"/>
      <w:divBdr>
        <w:top w:val="none" w:sz="0" w:space="0" w:color="auto"/>
        <w:left w:val="none" w:sz="0" w:space="0" w:color="auto"/>
        <w:bottom w:val="none" w:sz="0" w:space="0" w:color="auto"/>
        <w:right w:val="none" w:sz="0" w:space="0" w:color="auto"/>
      </w:divBdr>
    </w:div>
    <w:div w:id="1711146615">
      <w:bodyDiv w:val="1"/>
      <w:marLeft w:val="0"/>
      <w:marRight w:val="0"/>
      <w:marTop w:val="0"/>
      <w:marBottom w:val="0"/>
      <w:divBdr>
        <w:top w:val="none" w:sz="0" w:space="0" w:color="auto"/>
        <w:left w:val="none" w:sz="0" w:space="0" w:color="auto"/>
        <w:bottom w:val="none" w:sz="0" w:space="0" w:color="auto"/>
        <w:right w:val="none" w:sz="0" w:space="0" w:color="auto"/>
      </w:divBdr>
      <w:divsChild>
        <w:div w:id="368377932">
          <w:marLeft w:val="120"/>
          <w:marRight w:val="120"/>
          <w:marTop w:val="45"/>
          <w:marBottom w:val="0"/>
          <w:divBdr>
            <w:top w:val="none" w:sz="0" w:space="0" w:color="auto"/>
            <w:left w:val="none" w:sz="0" w:space="0" w:color="auto"/>
            <w:bottom w:val="none" w:sz="0" w:space="0" w:color="auto"/>
            <w:right w:val="none" w:sz="0" w:space="0" w:color="auto"/>
          </w:divBdr>
          <w:divsChild>
            <w:div w:id="4403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63904">
      <w:bodyDiv w:val="1"/>
      <w:marLeft w:val="0"/>
      <w:marRight w:val="0"/>
      <w:marTop w:val="0"/>
      <w:marBottom w:val="0"/>
      <w:divBdr>
        <w:top w:val="none" w:sz="0" w:space="0" w:color="auto"/>
        <w:left w:val="none" w:sz="0" w:space="0" w:color="auto"/>
        <w:bottom w:val="none" w:sz="0" w:space="0" w:color="auto"/>
        <w:right w:val="none" w:sz="0" w:space="0" w:color="auto"/>
      </w:divBdr>
    </w:div>
    <w:div w:id="1868787495">
      <w:bodyDiv w:val="1"/>
      <w:marLeft w:val="0"/>
      <w:marRight w:val="0"/>
      <w:marTop w:val="0"/>
      <w:marBottom w:val="0"/>
      <w:divBdr>
        <w:top w:val="none" w:sz="0" w:space="0" w:color="auto"/>
        <w:left w:val="none" w:sz="0" w:space="0" w:color="auto"/>
        <w:bottom w:val="none" w:sz="0" w:space="0" w:color="auto"/>
        <w:right w:val="none" w:sz="0" w:space="0" w:color="auto"/>
      </w:divBdr>
    </w:div>
    <w:div w:id="1904557360">
      <w:bodyDiv w:val="1"/>
      <w:marLeft w:val="0"/>
      <w:marRight w:val="0"/>
      <w:marTop w:val="0"/>
      <w:marBottom w:val="0"/>
      <w:divBdr>
        <w:top w:val="none" w:sz="0" w:space="0" w:color="auto"/>
        <w:left w:val="none" w:sz="0" w:space="0" w:color="auto"/>
        <w:bottom w:val="none" w:sz="0" w:space="0" w:color="auto"/>
        <w:right w:val="none" w:sz="0" w:space="0" w:color="auto"/>
      </w:divBdr>
    </w:div>
    <w:div w:id="1924222686">
      <w:bodyDiv w:val="1"/>
      <w:marLeft w:val="0"/>
      <w:marRight w:val="0"/>
      <w:marTop w:val="0"/>
      <w:marBottom w:val="0"/>
      <w:divBdr>
        <w:top w:val="none" w:sz="0" w:space="0" w:color="auto"/>
        <w:left w:val="none" w:sz="0" w:space="0" w:color="auto"/>
        <w:bottom w:val="none" w:sz="0" w:space="0" w:color="auto"/>
        <w:right w:val="none" w:sz="0" w:space="0" w:color="auto"/>
      </w:divBdr>
    </w:div>
    <w:div w:id="1952398046">
      <w:bodyDiv w:val="1"/>
      <w:marLeft w:val="0"/>
      <w:marRight w:val="0"/>
      <w:marTop w:val="0"/>
      <w:marBottom w:val="0"/>
      <w:divBdr>
        <w:top w:val="none" w:sz="0" w:space="0" w:color="auto"/>
        <w:left w:val="none" w:sz="0" w:space="0" w:color="auto"/>
        <w:bottom w:val="none" w:sz="0" w:space="0" w:color="auto"/>
        <w:right w:val="none" w:sz="0" w:space="0" w:color="auto"/>
      </w:divBdr>
    </w:div>
    <w:div w:id="1973561695">
      <w:bodyDiv w:val="1"/>
      <w:marLeft w:val="0"/>
      <w:marRight w:val="0"/>
      <w:marTop w:val="0"/>
      <w:marBottom w:val="0"/>
      <w:divBdr>
        <w:top w:val="none" w:sz="0" w:space="0" w:color="auto"/>
        <w:left w:val="none" w:sz="0" w:space="0" w:color="auto"/>
        <w:bottom w:val="none" w:sz="0" w:space="0" w:color="auto"/>
        <w:right w:val="none" w:sz="0" w:space="0" w:color="auto"/>
      </w:divBdr>
    </w:div>
    <w:div w:id="2005860420">
      <w:bodyDiv w:val="1"/>
      <w:marLeft w:val="0"/>
      <w:marRight w:val="0"/>
      <w:marTop w:val="0"/>
      <w:marBottom w:val="0"/>
      <w:divBdr>
        <w:top w:val="none" w:sz="0" w:space="0" w:color="auto"/>
        <w:left w:val="none" w:sz="0" w:space="0" w:color="auto"/>
        <w:bottom w:val="none" w:sz="0" w:space="0" w:color="auto"/>
        <w:right w:val="none" w:sz="0" w:space="0" w:color="auto"/>
      </w:divBdr>
      <w:divsChild>
        <w:div w:id="130754442">
          <w:marLeft w:val="120"/>
          <w:marRight w:val="120"/>
          <w:marTop w:val="45"/>
          <w:marBottom w:val="0"/>
          <w:divBdr>
            <w:top w:val="none" w:sz="0" w:space="0" w:color="auto"/>
            <w:left w:val="none" w:sz="0" w:space="0" w:color="auto"/>
            <w:bottom w:val="none" w:sz="0" w:space="0" w:color="auto"/>
            <w:right w:val="none" w:sz="0" w:space="0" w:color="auto"/>
          </w:divBdr>
          <w:divsChild>
            <w:div w:id="5526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6484">
      <w:bodyDiv w:val="1"/>
      <w:marLeft w:val="0"/>
      <w:marRight w:val="0"/>
      <w:marTop w:val="0"/>
      <w:marBottom w:val="0"/>
      <w:divBdr>
        <w:top w:val="none" w:sz="0" w:space="0" w:color="auto"/>
        <w:left w:val="none" w:sz="0" w:space="0" w:color="auto"/>
        <w:bottom w:val="none" w:sz="0" w:space="0" w:color="auto"/>
        <w:right w:val="none" w:sz="0" w:space="0" w:color="auto"/>
      </w:divBdr>
    </w:div>
    <w:div w:id="202265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ribaf.2019.101076" TargetMode="External"/><Relationship Id="rId21" Type="http://schemas.openxmlformats.org/officeDocument/2006/relationships/hyperlink" Target="https://doi.org/10.1016/j.ememar.2012.03.002" TargetMode="External"/><Relationship Id="rId42" Type="http://schemas.openxmlformats.org/officeDocument/2006/relationships/hyperlink" Target="https://doi.org/10.1093/rof/rfaa012" TargetMode="External"/><Relationship Id="rId47" Type="http://schemas.openxmlformats.org/officeDocument/2006/relationships/hyperlink" Target="https://doi.org/10.1016/0304-405X(88)90048-7"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doi.org/10.1016/j.ememar.2020.100767" TargetMode="External"/><Relationship Id="rId29" Type="http://schemas.openxmlformats.org/officeDocument/2006/relationships/hyperlink" Target="https://doi.org/10.1590/S1415-65552002000200003" TargetMode="External"/><Relationship Id="rId11" Type="http://schemas.openxmlformats.org/officeDocument/2006/relationships/hyperlink" Target="https://doi.org/10.1590/S0034-71402007000200001" TargetMode="External"/><Relationship Id="rId24" Type="http://schemas.openxmlformats.org/officeDocument/2006/relationships/hyperlink" Target="http://dx.doi.org/10.11606/rco.v8i21.63219" TargetMode="External"/><Relationship Id="rId32" Type="http://schemas.openxmlformats.org/officeDocument/2006/relationships/hyperlink" Target="https://doi.org/10.15728/bbr.2013.10.1.6" TargetMode="External"/><Relationship Id="rId37" Type="http://schemas.openxmlformats.org/officeDocument/2006/relationships/hyperlink" Target="https://www.anbima.com.br/data/files/F8/D2/98/00/02D885104D66888568A80AC2/Codigo-Brasileiro-de-Governanca-Corporativa_1_.pdf" TargetMode="External"/><Relationship Id="rId40" Type="http://schemas.openxmlformats.org/officeDocument/2006/relationships/hyperlink" Target="https://doi.org/10.1590/1678-6971/eRAMF220088" TargetMode="External"/><Relationship Id="rId45" Type="http://schemas.openxmlformats.org/officeDocument/2006/relationships/hyperlink" Target="http://www.planalto.gov.br/ccivil_03/_ato2015-2018/2016/lei/l13303.htm" TargetMode="External"/><Relationship Id="rId53" Type="http://schemas.openxmlformats.org/officeDocument/2006/relationships/hyperlink" Target="https://doi.org/10.1111/j.1467-8683.2011.00900.x" TargetMode="External"/><Relationship Id="rId58" Type="http://schemas.openxmlformats.org/officeDocument/2006/relationships/hyperlink" Target="https://doi.org/10.51359/1679-1827.2021.239657" TargetMode="External"/><Relationship Id="rId66"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hyperlink" Target="https://doi.org/10.1111/j.1467-6486.2007.00752.x" TargetMode="External"/><Relationship Id="rId19" Type="http://schemas.openxmlformats.org/officeDocument/2006/relationships/hyperlink" Target="https://doi.org/10.1590/1808-057x201806610" TargetMode="External"/><Relationship Id="rId14" Type="http://schemas.openxmlformats.org/officeDocument/2006/relationships/hyperlink" Target="https://doi.org/10.1007/s10997-017-9375-7" TargetMode="External"/><Relationship Id="rId22" Type="http://schemas.openxmlformats.org/officeDocument/2006/relationships/hyperlink" Target="https://doi.org/10.1111/j.1467-6486.2010.00929.x" TargetMode="External"/><Relationship Id="rId27" Type="http://schemas.openxmlformats.org/officeDocument/2006/relationships/hyperlink" Target="https://doi.org/10.2307/4126762" TargetMode="External"/><Relationship Id="rId30" Type="http://schemas.openxmlformats.org/officeDocument/2006/relationships/hyperlink" Target="https://doi.org/10.12660/rbfin.v16n3.2018.55898" TargetMode="External"/><Relationship Id="rId35" Type="http://schemas.openxmlformats.org/officeDocument/2006/relationships/hyperlink" Target="https://doi.org/10.1007/s10997-006-0004-0" TargetMode="External"/><Relationship Id="rId43" Type="http://schemas.openxmlformats.org/officeDocument/2006/relationships/hyperlink" Target="https://doi.org/10.1111/0022-1082.00115" TargetMode="External"/><Relationship Id="rId48" Type="http://schemas.openxmlformats.org/officeDocument/2006/relationships/hyperlink" Target="https://doi.org/10.4025/enfoque.v37i2.37824" TargetMode="External"/><Relationship Id="rId56" Type="http://schemas.openxmlformats.org/officeDocument/2006/relationships/hyperlink" Target="https://doi.org/10.1111/j.1540-6261.1997.tb04820.x" TargetMode="External"/><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11606/rco.v7i18.55613" TargetMode="External"/><Relationship Id="rId3" Type="http://schemas.openxmlformats.org/officeDocument/2006/relationships/numbering" Target="numbering.xml"/><Relationship Id="rId12" Type="http://schemas.openxmlformats.org/officeDocument/2006/relationships/hyperlink" Target="https://doi.org/10.1016/j.cjar.2012.08.002" TargetMode="External"/><Relationship Id="rId17" Type="http://schemas.openxmlformats.org/officeDocument/2006/relationships/hyperlink" Target="https://www.jstor.org/stable/40380267" TargetMode="External"/><Relationship Id="rId25" Type="http://schemas.openxmlformats.org/officeDocument/2006/relationships/hyperlink" Target="https://doi.org/10.1108/CG-01-2018-0043" TargetMode="External"/><Relationship Id="rId33" Type="http://schemas.openxmlformats.org/officeDocument/2006/relationships/hyperlink" Target="https://doi.org/10.1590/1679-395172454" TargetMode="External"/><Relationship Id="rId38" Type="http://schemas.openxmlformats.org/officeDocument/2006/relationships/hyperlink" Target="https://doi.org/10.19030/jabr.v31i2.9156" TargetMode="External"/><Relationship Id="rId46" Type="http://schemas.openxmlformats.org/officeDocument/2006/relationships/hyperlink" Target="https://doi.org/10.4025/enfoque.v39i2.45852" TargetMode="External"/><Relationship Id="rId59" Type="http://schemas.openxmlformats.org/officeDocument/2006/relationships/hyperlink" Target="https://doi.org/10.1007/s11187-018-0078-5" TargetMode="External"/><Relationship Id="rId67" Type="http://schemas.openxmlformats.org/officeDocument/2006/relationships/footer" Target="footer3.xml"/><Relationship Id="rId20" Type="http://schemas.openxmlformats.org/officeDocument/2006/relationships/hyperlink" Target="https://doi.org/10.1016/j.jcorpfin.2012.04.003" TargetMode="External"/><Relationship Id="rId41" Type="http://schemas.openxmlformats.org/officeDocument/2006/relationships/hyperlink" Target="https://doi.org/10.1016/0304-405X(76)90026-X" TargetMode="External"/><Relationship Id="rId54" Type="http://schemas.openxmlformats.org/officeDocument/2006/relationships/hyperlink" Target="https://doi.org/10.17524/repec.v10i4.1403" TargetMode="External"/><Relationship Id="rId62"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doi.org/10.4025/enfoque.v34i1.22493" TargetMode="External"/><Relationship Id="rId23" Type="http://schemas.openxmlformats.org/officeDocument/2006/relationships/hyperlink" Target="https://doi.org/10.1016/S0304-405X(98)00058-0" TargetMode="External"/><Relationship Id="rId28" Type="http://schemas.openxmlformats.org/officeDocument/2006/relationships/hyperlink" Target="https://doi.org/10.1002/smj.2046" TargetMode="External"/><Relationship Id="rId36" Type="http://schemas.openxmlformats.org/officeDocument/2006/relationships/hyperlink" Target="http://dx.doi.org/10.1590/S0034-759020150309" TargetMode="External"/><Relationship Id="rId49" Type="http://schemas.openxmlformats.org/officeDocument/2006/relationships/hyperlink" Target="https://asaa.anpcont.org.br/index.php/asaa/article/view/366" TargetMode="External"/><Relationship Id="rId57" Type="http://schemas.openxmlformats.org/officeDocument/2006/relationships/hyperlink" Target="https://doi.org/10.29069/forscience.2020v8n2.e772" TargetMode="External"/><Relationship Id="rId10" Type="http://schemas.openxmlformats.org/officeDocument/2006/relationships/image" Target="media/image1.png"/><Relationship Id="rId31" Type="http://schemas.openxmlformats.org/officeDocument/2006/relationships/hyperlink" Target="http://www.jstor.org/stable/725104" TargetMode="External"/><Relationship Id="rId44" Type="http://schemas.openxmlformats.org/officeDocument/2006/relationships/hyperlink" Target="https://doi.org/10.1016/S0304-405X(00)00065-9" TargetMode="External"/><Relationship Id="rId52" Type="http://schemas.openxmlformats.org/officeDocument/2006/relationships/hyperlink" Target="https://doi.org/10.1590/S1415-65552013000300004" TargetMode="External"/><Relationship Id="rId60" Type="http://schemas.openxmlformats.org/officeDocument/2006/relationships/hyperlink" Target="https://doi.org/10.5007/2175-8069.2019v15n34p181" TargetMode="External"/><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orcid.org/0000-0002-4928-8637" TargetMode="External"/><Relationship Id="rId13" Type="http://schemas.openxmlformats.org/officeDocument/2006/relationships/hyperlink" Target="https://doi.org/10.12660/rbfin.v12n4.2014.24499" TargetMode="External"/><Relationship Id="rId18" Type="http://schemas.openxmlformats.org/officeDocument/2006/relationships/hyperlink" Target="https://doi.org/10.1093/0199257531.003.0006" TargetMode="External"/><Relationship Id="rId39" Type="http://schemas.openxmlformats.org/officeDocument/2006/relationships/hyperlink" Target="https://doi.org/10.9771/rc-ufba.v10i2.17027" TargetMode="External"/><Relationship Id="rId34" Type="http://schemas.openxmlformats.org/officeDocument/2006/relationships/hyperlink" Target="https://doi.org/10.1590/S0034-759020200503" TargetMode="External"/><Relationship Id="rId50" Type="http://schemas.openxmlformats.org/officeDocument/2006/relationships/hyperlink" Target="https://doi.org/10.1590/1679-395120200107" TargetMode="External"/><Relationship Id="rId55" Type="http://schemas.openxmlformats.org/officeDocument/2006/relationships/hyperlink" Target="https://doi.org/10.1177/089448651037506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F5C1A-8563-4A0C-8F24-B54A9F00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14456</Words>
  <Characters>78064</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ANÁLISE DE BALANÇOS</vt:lpstr>
    </vt:vector>
  </TitlesOfParts>
  <Company/>
  <LinksUpToDate>false</LinksUpToDate>
  <CharactersWithSpaces>92336</CharactersWithSpaces>
  <SharedDoc>false</SharedDoc>
  <HLinks>
    <vt:vector size="36" baseType="variant">
      <vt:variant>
        <vt:i4>4522055</vt:i4>
      </vt:variant>
      <vt:variant>
        <vt:i4>282</vt:i4>
      </vt:variant>
      <vt:variant>
        <vt:i4>0</vt:i4>
      </vt:variant>
      <vt:variant>
        <vt:i4>5</vt:i4>
      </vt:variant>
      <vt:variant>
        <vt:lpwstr>http://www.plickers.com/</vt:lpwstr>
      </vt:variant>
      <vt:variant>
        <vt:lpwstr/>
      </vt:variant>
      <vt:variant>
        <vt:i4>4980760</vt:i4>
      </vt:variant>
      <vt:variant>
        <vt:i4>279</vt:i4>
      </vt:variant>
      <vt:variant>
        <vt:i4>0</vt:i4>
      </vt:variant>
      <vt:variant>
        <vt:i4>5</vt:i4>
      </vt:variant>
      <vt:variant>
        <vt:lpwstr>http://www.getkahoot.com/</vt:lpwstr>
      </vt:variant>
      <vt:variant>
        <vt:lpwstr/>
      </vt:variant>
      <vt:variant>
        <vt:i4>5373978</vt:i4>
      </vt:variant>
      <vt:variant>
        <vt:i4>9</vt:i4>
      </vt:variant>
      <vt:variant>
        <vt:i4>0</vt:i4>
      </vt:variant>
      <vt:variant>
        <vt:i4>5</vt:i4>
      </vt:variant>
      <vt:variant>
        <vt:lpwstr>https://orcid.org/0000-0003-3222-0860</vt:lpwstr>
      </vt:variant>
      <vt:variant>
        <vt:lpwstr/>
      </vt:variant>
      <vt:variant>
        <vt:i4>7995477</vt:i4>
      </vt:variant>
      <vt:variant>
        <vt:i4>6</vt:i4>
      </vt:variant>
      <vt:variant>
        <vt:i4>0</vt:i4>
      </vt:variant>
      <vt:variant>
        <vt:i4>5</vt:i4>
      </vt:variant>
      <vt:variant>
        <vt:lpwstr>mailto:danielrnog@hotmail.com</vt:lpwstr>
      </vt:variant>
      <vt:variant>
        <vt:lpwstr/>
      </vt:variant>
      <vt:variant>
        <vt:i4>5636118</vt:i4>
      </vt:variant>
      <vt:variant>
        <vt:i4>3</vt:i4>
      </vt:variant>
      <vt:variant>
        <vt:i4>0</vt:i4>
      </vt:variant>
      <vt:variant>
        <vt:i4>5</vt:i4>
      </vt:variant>
      <vt:variant>
        <vt:lpwstr>https://orcid.org/0000-0002-5176-6634</vt:lpwstr>
      </vt:variant>
      <vt:variant>
        <vt:lpwstr/>
      </vt:variant>
      <vt:variant>
        <vt:i4>6750282</vt:i4>
      </vt:variant>
      <vt:variant>
        <vt:i4>0</vt:i4>
      </vt:variant>
      <vt:variant>
        <vt:i4>0</vt:i4>
      </vt:variant>
      <vt:variant>
        <vt:i4>5</vt:i4>
      </vt:variant>
      <vt:variant>
        <vt:lpwstr>mailto:vnasu@usp.br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BALANÇOS</dc:title>
  <dc:creator>Administrador</dc:creator>
  <cp:lastModifiedBy>DCC</cp:lastModifiedBy>
  <cp:revision>2</cp:revision>
  <cp:lastPrinted>2024-02-05T12:20:00Z</cp:lastPrinted>
  <dcterms:created xsi:type="dcterms:W3CDTF">2024-02-05T14:35:00Z</dcterms:created>
  <dcterms:modified xsi:type="dcterms:W3CDTF">2024-02-05T14:35:00Z</dcterms:modified>
</cp:coreProperties>
</file>