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i w:val="0"/>
          <w:sz w:val="32"/>
        </w:rPr>
        <w:t>10.1590/0000-000020260001</w:t>
      </w:r>
    </w:p>
    <w:p>
      <w:r>
        <w:rPr>
          <w:rFonts w:ascii="Times New Roman" w:hAnsi="Times New Roman"/>
          <w:b/>
          <w:i w:val="0"/>
          <w:sz w:val="32"/>
        </w:rPr>
        <w:t>Artigo original</w:t>
      </w:r>
    </w:p>
    <w:p>
      <w:r>
        <w:rPr>
          <w:rFonts w:ascii="Times New Roman" w:hAnsi="Times New Roman"/>
          <w:b/>
          <w:i w:val="0"/>
          <w:sz w:val="32"/>
        </w:rPr>
        <w:t>Modelo de artigo de pesquisa para marcação automática no ecossistema SciELO Tools</w:t>
      </w:r>
    </w:p>
    <w:p>
      <w:r>
        <w:rPr>
          <w:rFonts w:ascii="Times New Roman" w:hAnsi="Times New Roman"/>
          <w:b/>
          <w:i w:val="0"/>
          <w:sz w:val="24"/>
        </w:rPr>
        <w:t>Maria da Silva Souza ¹ https://orcid.org/0000-0001-2345-6789</w:t>
      </w:r>
    </w:p>
    <w:p>
      <w:r>
        <w:rPr>
          <w:rFonts w:ascii="Times New Roman" w:hAnsi="Times New Roman"/>
          <w:b/>
          <w:i w:val="0"/>
          <w:sz w:val="24"/>
        </w:rPr>
        <w:t>João Pedro Almeida ¹,² https://orcid.org/0000-0002-3456-7890</w:t>
      </w:r>
    </w:p>
    <w:p>
      <w:r>
        <w:rPr>
          <w:rFonts w:ascii="Times New Roman" w:hAnsi="Times New Roman"/>
          <w:b w:val="0"/>
          <w:i w:val="0"/>
          <w:sz w:val="22"/>
        </w:rPr>
        <w:t>¹Universidade Federal de Exemplo, Instituto de Ciências, Departamento de Biologia, São Paulo – SP, Brazil</w:t>
      </w:r>
    </w:p>
    <w:p>
      <w:r>
        <w:rPr>
          <w:rFonts w:ascii="Times New Roman" w:hAnsi="Times New Roman"/>
          <w:b w:val="0"/>
          <w:i w:val="0"/>
          <w:sz w:val="22"/>
        </w:rPr>
        <w:t>²Centro de Pesquisa Aplicada, Rio de Janeiro – RJ, Brazil</w:t>
      </w:r>
    </w:p>
    <w:p>
      <w:r>
        <w:rPr>
          <w:rFonts w:ascii="Times New Roman" w:hAnsi="Times New Roman"/>
          <w:b w:val="0"/>
          <w:i w:val="0"/>
          <w:sz w:val="22"/>
        </w:rPr>
        <w:t>Recebido em: 15/01/2026</w:t>
      </w:r>
    </w:p>
    <w:p>
      <w:r>
        <w:rPr>
          <w:rFonts w:ascii="Times New Roman" w:hAnsi="Times New Roman"/>
          <w:b/>
          <w:i w:val="0"/>
          <w:sz w:val="22"/>
        </w:rPr>
        <w:t>Aprovado em: 30/04/2026</w:t>
      </w:r>
    </w:p>
    <w:p>
      <w:r>
        <w:rPr>
          <w:rFonts w:ascii="Times New Roman" w:hAnsi="Times New Roman"/>
          <w:b/>
          <w:i w:val="0"/>
          <w:sz w:val="24"/>
        </w:rPr>
        <w:t>Resumo</w:t>
      </w:r>
    </w:p>
    <w:p>
      <w:r>
        <w:rPr>
          <w:rFonts w:ascii="Times New Roman" w:hAnsi="Times New Roman"/>
          <w:b w:val="0"/>
          <w:i w:val="0"/>
          <w:sz w:val="24"/>
        </w:rPr>
        <w:t>Objetivo: Demonstrar, em volume ampliado, a estrutura de um artigo de pesquisa compatível com o pipeline DOCX → XML SPS/JATS do MarkAPI dentro do SciELO Tools. Originalidade: Documento de referência para autores, editores e equipes de marcação que precisam validar front matter, corpo extenso e lista bibliográfica robusta. Método: Elaboração conforme regras de tipografia e ordem de blocos implementadas em markuplib/function_docx.py, markup_doc/tasks.py e markup_doc/xml.py, com regeneração automatizada e validação de extractContent. Resultados: O template produz dezenas de parágrafos rotulados, quinze referências heterogêneas (periódico, livro, tese, página web, software e anais) e XML research-article com specific-use sps-1.9. Contribuições: Reduz ambiguidade editorial, acelera testes de regressão do pipeline e serve como base para novos periódicos integrados ao SciELO Tools.</w:t>
      </w:r>
    </w:p>
    <w:p>
      <w:r>
        <w:rPr>
          <w:rFonts w:ascii="Times New Roman" w:hAnsi="Times New Roman"/>
          <w:b/>
          <w:i w:val="0"/>
          <w:sz w:val="24"/>
        </w:rPr>
        <w:t>Palavras-chave: Marcação XML; SciELO Tools; Artigo de pesquisa; JATS; SPS; MarkAPI</w:t>
      </w:r>
    </w:p>
    <w:p>
      <w:r>
        <w:rPr>
          <w:rFonts w:ascii="Times New Roman" w:hAnsi="Times New Roman"/>
          <w:b/>
          <w:i w:val="0"/>
          <w:sz w:val="32"/>
        </w:rPr>
        <w:t>INTRODUÇÃO</w:t>
      </w:r>
    </w:p>
    <w:p>
      <w:r>
        <w:rPr>
          <w:rFonts w:ascii="Times New Roman" w:hAnsi="Times New Roman"/>
          <w:b w:val="0"/>
          <w:i/>
          <w:sz w:val="24"/>
        </w:rPr>
        <w:t>Contexto do SciELO Tools</w:t>
      </w:r>
    </w:p>
    <w:p>
      <w:r>
        <w:rPr>
          <w:rFonts w:ascii="Times New Roman" w:hAnsi="Times New Roman"/>
          <w:b w:val="0"/>
          <w:i w:val="0"/>
          <w:sz w:val="24"/>
        </w:rPr>
        <w:t>O SciELO Tools agrupa capacidades de marcação, validação, geração de formatos derivados e rastreio de eventos editoriais no XML. Periódicos que adotam o MarkAPI beneficiam-se de um fluxo único: submissão DOCX, revisão humana assistida, XML SPS como registro e publicação via Upload/OPAC quando aplicável.</w:t>
      </w:r>
    </w:p>
    <w:p>
      <w:r>
        <w:rPr>
          <w:rFonts w:ascii="Times New Roman" w:hAnsi="Times New Roman"/>
          <w:b w:val="0"/>
          <w:i w:val="0"/>
          <w:sz w:val="24"/>
        </w:rPr>
        <w:t>A produção científica em rede exige ferramentas capazes de converter manuscritos em objetos rastreáveis, validáveis e reutilizáveis. O SciELO Tools consolida esse fluxo ao combinar interface editorial, marcação assistida por modelos de linguagem e geração de XML SPS/JATS como registro único do ciclo de vida do artigo. Neste contexto, manuscritos DOCX permanecem o formato de entrada mais frequente entre autores e editoras, o que impõe convenções tipográficas estáveis para que a extração automática seja previsível.</w:t>
      </w:r>
    </w:p>
    <w:p>
      <w:r>
        <w:rPr>
          <w:rFonts w:ascii="Times New Roman" w:hAnsi="Times New Roman"/>
          <w:b w:val="0"/>
          <w:i w:val="0"/>
          <w:sz w:val="24"/>
        </w:rPr>
        <w:t>O MarkAPI implementa a conversão DOCX → XML por meio de três camadas complementares. A primeira, extractContent, percorre parágrafos Word, detecta listas, tabelas, figuras e fórmulas, identifica resumo, palavras-chave e datas editoriais por expressões regulares, e delimita o first_block imediatamente antes do parágrafo INTRODUÇÃO. A segunda, get_labels, rotula front, corpo e referências, recorrendo ao LLM para metadados iniciais e bibliografia. A terceira, get_xml, materializa o modelo JATS dentro do perfil SciELO Publishing Schema, preservando idioma, afiliações, histórico e ref-list.</w:t>
      </w:r>
    </w:p>
    <w:p>
      <w:r>
        <w:rPr>
          <w:rFonts w:ascii="Times New Roman" w:hAnsi="Times New Roman"/>
          <w:b w:val="0"/>
          <w:i w:val="0"/>
          <w:sz w:val="24"/>
        </w:rPr>
        <w:t>Editorialmente, a ordem dos blocos no front matter não é arbitrária. DOI, categoria do artigo, título, autores com ORCID, afiliações numeradas, datas de submissão e decisão, resumo estruturado e palavras-chave devem preceder a introdução. Qualquer inversão tende a degradar a qualidade do first_block e aumenta a carga de correção humana no Wagtail. Por isso, templates de referência são instrumentos de governança tão importantes quanto validadores packtools.</w:t>
      </w:r>
    </w:p>
    <w:p>
      <w:r>
        <w:rPr>
          <w:rFonts w:ascii="Times New Roman" w:hAnsi="Times New Roman"/>
          <w:b w:val="0"/>
          <w:i w:val="0"/>
          <w:sz w:val="24"/>
        </w:rPr>
        <w:t>A literatura sobre publicação eletrônica enfatiza interoperabilidade entre sistemas editoriais heterogéneos (OJS, ScholarOne, fluxos proprietários) e repositórios de disseminação. O SciELO Tools posiciona-se como backbone agnóstico: integra-se por API REST com JWT, mantém Wagtail para operações editoriais nativas e propaga correções do XML para PDF, HTML e pacotes SPS. Artigos modelo, como o presente, permitem testar essa cadeia sem depender de manuscritos reais sujeitos a confidencialidade.</w:t>
      </w:r>
    </w:p>
    <w:p>
      <w:r>
        <w:rPr>
          <w:rFonts w:ascii="Times New Roman" w:hAnsi="Times New Roman"/>
          <w:b w:val="0"/>
          <w:i w:val="0"/>
          <w:sz w:val="24"/>
        </w:rPr>
        <w:t>Do ponto de vista da tipografia, títulos de seção em 16 pt negrito e subseções em 12 pt itálico alimentam order_labels_body. Parágrafos corridos em 12 pt mapeiam para &lt;p&gt;. O gatilho INTRODUÇÃO encerra metadados inline e inicia o corpo; o gatilho REFERÊNCIAS encerra o corpo e abre o back matter. Desvios frequentes — misturar 14 pt e 18 pt no corpo, omitir negrito em seções ou usar sinónimos não previstos — são a principal causa de rotulagem parcial em produção.</w:t>
      </w:r>
    </w:p>
    <w:p>
      <w:r>
        <w:rPr>
          <w:rFonts w:ascii="Times New Roman" w:hAnsi="Times New Roman"/>
          <w:b w:val="0"/>
          <w:i w:val="0"/>
          <w:sz w:val="24"/>
        </w:rPr>
        <w:t>Este artigo-modelo assume artigo de pesquisa (research-article), língua portuguesa, duas afiliações e quinze referências de tipos distintos. O volume textual ampliado simula manuscritos reais submetidos a revisão por pares, incluindo citações indiretas a trabalhos clássicos e recentes sem empregar vocabulário que dispare falsos positivos de datas editoriais no extrator. O objetivo final é permitir marcação integral e validação packtools após preenchimento dos metadados de periódico no formulário Wagtail.</w:t>
      </w:r>
    </w:p>
    <w:p>
      <w:r>
        <w:rPr>
          <w:rFonts w:ascii="Times New Roman" w:hAnsi="Times New Roman"/>
          <w:b/>
          <w:i w:val="0"/>
          <w:sz w:val="32"/>
        </w:rPr>
        <w:t>METODOLOGIA</w:t>
      </w:r>
    </w:p>
    <w:p>
      <w:r>
        <w:rPr>
          <w:rFonts w:ascii="Times New Roman" w:hAnsi="Times New Roman"/>
          <w:b w:val="0"/>
          <w:i/>
          <w:sz w:val="24"/>
        </w:rPr>
        <w:t>Amostra e procedimentos</w:t>
      </w:r>
    </w:p>
    <w:p>
      <w:r>
        <w:rPr>
          <w:rFonts w:ascii="Times New Roman" w:hAnsi="Times New Roman"/>
          <w:b w:val="0"/>
          <w:i w:val="0"/>
          <w:sz w:val="24"/>
        </w:rPr>
        <w:t>O documento foi gerado por scripts/build_research_article_reference_fixture.py e validado com functionsDocx().extractContent. Metadados de periódico (ISSN, volume, licença) são preenchidos no Wagtail ao carregar o DOCX.</w:t>
      </w:r>
    </w:p>
    <w:p>
      <w:r>
        <w:rPr>
          <w:rFonts w:ascii="Times New Roman" w:hAnsi="Times New Roman"/>
          <w:b w:val="0"/>
          <w:i/>
          <w:sz w:val="24"/>
        </w:rPr>
        <w:t>Análise de qualidade da marcação</w:t>
      </w:r>
    </w:p>
    <w:p>
      <w:r>
        <w:rPr>
          <w:rFonts w:ascii="Times New Roman" w:hAnsi="Times New Roman"/>
          <w:b w:val="0"/>
          <w:i w:val="0"/>
          <w:sz w:val="24"/>
        </w:rPr>
        <w:t>Compararam-se rótulos esperados com saída de get_labels e inspecionou-se o XML resultante de get_xml. Divergências em affid, títulos traduzidos ou ref-list são registradas como issues de regressão no repositório markapi.</w:t>
      </w:r>
    </w:p>
    <w:p>
      <w:r>
        <w:rPr>
          <w:rFonts w:ascii="Times New Roman" w:hAnsi="Times New Roman"/>
          <w:b w:val="0"/>
          <w:i w:val="0"/>
          <w:sz w:val="24"/>
        </w:rPr>
        <w:t>Trata-se de estudo documental e de engenharia de referência. O corpus analisado é o próprio template gerado por este repositório, versionado em fixtures/research-article/ e reproduzível via script Python com python-docx.</w:t>
      </w:r>
    </w:p>
    <w:p>
      <w:r>
        <w:rPr>
          <w:rFonts w:ascii="Times New Roman" w:hAnsi="Times New Roman"/>
          <w:b w:val="0"/>
          <w:i w:val="0"/>
          <w:sz w:val="24"/>
        </w:rPr>
        <w:t>A tipografia foi aplicada parágrafo a parágrafo: 16 pt negrito para DOI, secção editorial e título; 12 pt negrito para autores; 11 pt para afiliações e datas; 12 pt negrito para rótulos de resumo e palavras-chave; 12 pt normal para texto corrido; 16 pt negrito para seções principais; 12 pt itálico para subseções. Fonte Times New Roman em todos os runs, conforme prática de periódicos SciELO.</w:t>
      </w:r>
    </w:p>
    <w:p>
      <w:r>
        <w:rPr>
          <w:rFonts w:ascii="Times New Roman" w:hAnsi="Times New Roman"/>
          <w:b w:val="0"/>
          <w:i w:val="0"/>
          <w:sz w:val="24"/>
        </w:rPr>
        <w:t>Após geração do DOCX, executou-se functionsDocx().extractContent em ambiente Django local. Verificaram-se tipos obrigatórios: &lt;date-received&gt;, &lt;date-accepted&gt;, &lt;abstract&gt;, &lt;kwd-group&gt;, first_block, sequência de seções e parágrafos até REFERÊNCIAS. Metadados de periódico (ISSN, volume, fascículo, licença, acronym) foram definidos como campos externos ao manuscrito, preenchidos no modelo Article Docx Markup.</w:t>
      </w:r>
    </w:p>
    <w:p>
      <w:r>
        <w:rPr>
          <w:rFonts w:ascii="Times New Roman" w:hAnsi="Times New Roman"/>
          <w:b w:val="0"/>
          <w:i w:val="0"/>
          <w:sz w:val="24"/>
        </w:rPr>
        <w:t>Para simular marcação completa, recomenda-se configurar Gemini ou Llama no app model_ai, executar get_labels sobre o upload de teste e inspecionar stream fields content, content_body e content_back. Referências foram redigidas seguindo exemplos de reference/config_gemini.py, privilegiando presença de DOI, páginas, editoras e URLs persistentes para exercitar o parser bibliográfico.</w:t>
      </w:r>
    </w:p>
    <w:p>
      <w:r>
        <w:rPr>
          <w:rFonts w:ascii="Times New Roman" w:hAnsi="Times New Roman"/>
          <w:b w:val="0"/>
          <w:i w:val="0"/>
          <w:sz w:val="24"/>
        </w:rPr>
        <w:t>Critérios de aceite: (a) nenhum parágrafo do corpo classificado como data editorial; (b) first_block contendo DOI e autores; (c) no mínimo quinze entradas em ref-list após marcação; (d) XML com article-type research-article e specific-use sps-1.9; (e) validação packtools sem erros críticos quando metadados de periódico estão completos.</w:t>
      </w:r>
    </w:p>
    <w:p>
      <w:r>
        <w:rPr>
          <w:rFonts w:ascii="Times New Roman" w:hAnsi="Times New Roman"/>
          <w:b/>
          <w:i w:val="0"/>
          <w:sz w:val="32"/>
        </w:rPr>
        <w:t>RESULTADOS</w:t>
      </w:r>
    </w:p>
    <w:p>
      <w:r>
        <w:rPr>
          <w:rFonts w:ascii="Times New Roman" w:hAnsi="Times New Roman"/>
          <w:b w:val="0"/>
          <w:i w:val="0"/>
          <w:sz w:val="24"/>
        </w:rPr>
        <w:t>A extração determinística reconheceu resumo, palavras-chave, datas editoriais e delimitou first_block com DOI, título, autores e afiliações antes de INTRODUÇÃO. O corpo foi segmentado em quatro seções principais com subseções em itálico, totalizando mais de vinte parágrafos úteis para rotulagem &lt;sec&gt;, &lt;sub-sec&gt; e &lt;p&gt;.</w:t>
      </w:r>
    </w:p>
    <w:p>
      <w:r>
        <w:rPr>
          <w:rFonts w:ascii="Times New Roman" w:hAnsi="Times New Roman"/>
          <w:b w:val="0"/>
          <w:i w:val="0"/>
          <w:sz w:val="24"/>
        </w:rPr>
        <w:t>A hierarquia tipográfica produziu dois níveis dominantes em sections: 16 pt negrito para cabeçalhos de secção e 12 pt regular para texto, coerente com order_labels_body. Não foram detectados falsos positivos de datas após remoção de termos ambíguos no texto corrido.</w:t>
      </w:r>
    </w:p>
    <w:p>
      <w:r>
        <w:rPr>
          <w:rFonts w:ascii="Times New Roman" w:hAnsi="Times New Roman"/>
          <w:b w:val="0"/>
          <w:i w:val="0"/>
          <w:sz w:val="24"/>
        </w:rPr>
        <w:t>O XML de referência inclui journal-meta compatível com SciELO Tools, article-meta com contrib-group e history, abstract estruturado, kwd-group em português, body com sec intro, metodologia, resultados e conclusões, e ref-list com quinze registos heterogéneos. A estrutura JATS mantém front, body e back explícitos, requisito para derivados PDF e HTML.</w:t>
      </w:r>
    </w:p>
    <w:p>
      <w:r>
        <w:rPr>
          <w:rFonts w:ascii="Times New Roman" w:hAnsi="Times New Roman"/>
          <w:b w:val="0"/>
          <w:i w:val="0"/>
          <w:sz w:val="24"/>
        </w:rPr>
        <w:t>Quanto à marcação assistida, o first_block consolidado apresenta texto suficiente para inferência estável de dois autores, duas afiliações e título longo. A lista bibliográfica exercita journal, book, thesis, dissertation, confproc, webpage, software e dataset, cobrindo enums do prompt Gemini de referências.</w:t>
      </w:r>
    </w:p>
    <w:p>
      <w:r>
        <w:rPr>
          <w:rFonts w:ascii="Times New Roman" w:hAnsi="Times New Roman"/>
          <w:b w:val="0"/>
          <w:i w:val="0"/>
          <w:sz w:val="24"/>
        </w:rPr>
        <w:t>Em testes de regressão, o template ampliado aumenta cobertura de casos editoriais sem exigir manuscritos sob embargo. Equipes podem comparar XML gerado com research_article_template.xml e investigar diferenças campo a campo no Wagtail antes de publicar pacotes SPS.</w:t>
      </w:r>
    </w:p>
    <w:p>
      <w:r>
        <w:rPr>
          <w:rFonts w:ascii="Times New Roman" w:hAnsi="Times New Roman"/>
          <w:b/>
          <w:i w:val="0"/>
          <w:sz w:val="32"/>
        </w:rPr>
        <w:t>CONSIDERAÇÕES FINAIS</w:t>
      </w:r>
    </w:p>
    <w:p>
      <w:r>
        <w:rPr>
          <w:rFonts w:ascii="Times New Roman" w:hAnsi="Times New Roman"/>
          <w:b w:val="0"/>
          <w:i w:val="0"/>
          <w:sz w:val="24"/>
        </w:rPr>
        <w:t>O template expandido do SciELO Tools demonstra que marcação integral depende tanto de regras determinísticas quanto de configuração adequada de LLM para metadados e bibliografia. Autores devem aderir à ordem front–body–back e aos tamanhos de fonte documentados em docs/spec/research-article-docx-template.md.</w:t>
      </w:r>
    </w:p>
    <w:p>
      <w:r>
        <w:rPr>
          <w:rFonts w:ascii="Times New Roman" w:hAnsi="Times New Roman"/>
          <w:b w:val="0"/>
          <w:i w:val="0"/>
          <w:sz w:val="24"/>
        </w:rPr>
        <w:t>Recomenda-se regenerar periodicamente o DOCX via scripts/build_research_article_reference_fixture.py após alterações em extractContent ou get_labels, garantindo que validações automáticas continuem verdes. Novos tipos de objeto (review-article, data-article, addendum) podem replicar este padrão com secções e prompts específicos.</w:t>
      </w:r>
    </w:p>
    <w:p>
      <w:r>
        <w:rPr>
          <w:rFonts w:ascii="Times New Roman" w:hAnsi="Times New Roman"/>
          <w:b w:val="0"/>
          <w:i w:val="0"/>
          <w:sz w:val="24"/>
        </w:rPr>
        <w:t>Para periódicos em onboarding, o presente manuscrito serve como contrato editorial mínimo: volume textual representativo, referências diversas e XML gold standard. Investimento em templates reduz retrabalho na revisão de marcação e aumenta taxa de pacotes SPS aprovados na primeira validação packtools.</w:t>
      </w:r>
    </w:p>
    <w:p>
      <w:r>
        <w:rPr>
          <w:rFonts w:ascii="Times New Roman" w:hAnsi="Times New Roman"/>
          <w:b w:val="0"/>
          <w:i w:val="0"/>
          <w:sz w:val="24"/>
        </w:rPr>
        <w:t>Trabalhos futuros incluem incorporar tabela e figura nativas Word ao template, exercitar fórmulas OMML, validar artigos bilíngues com translate-body e publicar métricas de tempo de marcação comparando Llama local e Gemini remoto sobre o mesmo fixture.</w:t>
      </w:r>
    </w:p>
    <w:p>
      <w:r>
        <w:rPr>
          <w:rFonts w:ascii="Times New Roman" w:hAnsi="Times New Roman"/>
          <w:b/>
          <w:i w:val="0"/>
          <w:sz w:val="32"/>
        </w:rPr>
        <w:t>REFERÊNCIAS</w:t>
      </w:r>
    </w:p>
    <w:p>
      <w:r>
        <w:rPr>
          <w:rFonts w:ascii="Times New Roman" w:hAnsi="Times New Roman"/>
          <w:b w:val="0"/>
          <w:i w:val="0"/>
          <w:sz w:val="24"/>
        </w:rPr>
        <w:t>BACHMAN, S.; MOAT, J.; HILL, A. W.; DE LA TORRE, J.; SCOTT, B. 2011. Supporting Red List threat assessments with GeoCAT: geospatial conservation assessment tool. ZooKeys, v. 150, p. 117-126. DOI: https://doi.org/10.3897/zookeys.150.2109</w:t>
      </w:r>
    </w:p>
    <w:p>
      <w:r>
        <w:rPr>
          <w:rFonts w:ascii="Times New Roman" w:hAnsi="Times New Roman"/>
          <w:b w:val="0"/>
          <w:i w:val="0"/>
          <w:sz w:val="24"/>
        </w:rPr>
        <w:t>SCHIMPER, A. F. W. 1903. Plant geography upon a physiological basis. Oxford: Clarendon Press. 839 p.</w:t>
      </w:r>
    </w:p>
    <w:p>
      <w:r>
        <w:rPr>
          <w:rFonts w:ascii="Times New Roman" w:hAnsi="Times New Roman"/>
          <w:b w:val="0"/>
          <w:i w:val="0"/>
          <w:sz w:val="24"/>
        </w:rPr>
        <w:t>BRUNEL, J. F. 1987. Sur le genre Phyllanthus L. et quelques genres voisins de la Tribu des Phyllantheae Dumort. (Euphorbiaceae, Phyllantheae) en Afrique intertropicale et à Madagascar. Thèse de doctorat de l'Université L. Pasteur. Strasbourg, France. 760 pp.</w:t>
      </w:r>
    </w:p>
    <w:p>
      <w:r>
        <w:rPr>
          <w:rFonts w:ascii="Times New Roman" w:hAnsi="Times New Roman"/>
          <w:b w:val="0"/>
          <w:i w:val="0"/>
          <w:sz w:val="24"/>
        </w:rPr>
        <w:t>HERNÁNDEZ-LÓPEZ, L. 1995. The endemic flora of Jalisco, Mexico: Centers of endemism and implications for conservation. Tesis de maestría. Universidad de Wisconsin. Madison, USA. 74 pp.</w:t>
      </w:r>
    </w:p>
    <w:p>
      <w:r>
        <w:rPr>
          <w:rFonts w:ascii="Times New Roman" w:hAnsi="Times New Roman"/>
          <w:b w:val="0"/>
          <w:i w:val="0"/>
          <w:sz w:val="24"/>
        </w:rPr>
        <w:t>JONES, D. L. The role of physical activity on the need for revision total knee arthroplasty in individuals with osteoarthritis of the knee [dissertation]. [Pittsburgh (PA)]: University of Pittsburgh; 2001. 436 p.</w:t>
      </w:r>
    </w:p>
    <w:p>
      <w:r>
        <w:rPr>
          <w:rFonts w:ascii="Times New Roman" w:hAnsi="Times New Roman"/>
          <w:b w:val="0"/>
          <w:i w:val="0"/>
          <w:sz w:val="24"/>
        </w:rPr>
        <w:t>CORREA, M. D.; GALDAMES, C.; STAPF, M. 2004. Catálogo de Plantas Vasculares de Panamá. Smithsonian Tropical Research Institute. Ciudad de Panamá, Panamá. 599 pp.</w:t>
      </w:r>
    </w:p>
    <w:p>
      <w:r>
        <w:rPr>
          <w:rFonts w:ascii="Times New Roman" w:hAnsi="Times New Roman"/>
          <w:b w:val="0"/>
          <w:i w:val="0"/>
          <w:sz w:val="24"/>
        </w:rPr>
        <w:t>HERNÁNDEZ-LÓPEZ, L. 2019. Las especies endémicas de plantas en el estado de Jalisco: su distribución y conservación. Comisión Nacional para el Conocimiento y Uso de la Biodiversidad (CONABIO). Ciudad de México, México. https://doi.org/10.15468/ktvqds</w:t>
      </w:r>
    </w:p>
    <w:p>
      <w:r>
        <w:rPr>
          <w:rFonts w:ascii="Times New Roman" w:hAnsi="Times New Roman"/>
          <w:b w:val="0"/>
          <w:i w:val="0"/>
          <w:sz w:val="24"/>
        </w:rPr>
        <w:t>HAMRIC, A. B.; SPROSS, J. A.; HANSON, C. M. Advanced practice nursing: an integrative approach. 3rd ed. St. Louis (MO): Elsevier Saunders; c2005. 979 p.</w:t>
      </w:r>
    </w:p>
    <w:p>
      <w:r>
        <w:rPr>
          <w:rFonts w:ascii="Times New Roman" w:hAnsi="Times New Roman"/>
          <w:b w:val="0"/>
          <w:i w:val="0"/>
          <w:sz w:val="24"/>
        </w:rPr>
        <w:t>CALKINS, B. M.; MENDELOFF, A. I. The epidemiology of idiopathic inflammatory bowel disease. In: KIRSNER, J. B.; SHORTER, R. G. (eds.). Inflammatory bowel disease. 4th ed. Baltimore: Williams &amp; Wilkins. 1995. p. 31-68.</w:t>
      </w:r>
    </w:p>
    <w:p>
      <w:r>
        <w:rPr>
          <w:rFonts w:ascii="Times New Roman" w:hAnsi="Times New Roman"/>
          <w:b w:val="0"/>
          <w:i w:val="0"/>
          <w:sz w:val="24"/>
        </w:rPr>
        <w:t>CONGRESSO DE PESQUISA E INOVAÇÃO DA REDE NORTE NORDESTE DE EDUCAÇÃO TECNOLÓGICA, 1., 2006, Natal. Anais [...]. Natal: CEFET-RN. 1 CD-ROM.</w:t>
      </w:r>
    </w:p>
    <w:p>
      <w:r>
        <w:rPr>
          <w:rFonts w:ascii="Times New Roman" w:hAnsi="Times New Roman"/>
          <w:b w:val="0"/>
          <w:i w:val="0"/>
          <w:sz w:val="24"/>
        </w:rPr>
        <w:t>INAFED. 2010. Enciclopedia de los Municipios y Delegaciones de México: Jalisco. Instituto Nacional para el Federalismo y el Desarrollo Municipal. http://www.inafed.gob.mx/work/enciclopedia/EMM21jalisco/ (consultado maio de 2026).</w:t>
      </w:r>
    </w:p>
    <w:p>
      <w:r>
        <w:rPr>
          <w:rFonts w:ascii="Times New Roman" w:hAnsi="Times New Roman"/>
          <w:b w:val="0"/>
          <w:i w:val="0"/>
          <w:sz w:val="24"/>
        </w:rPr>
        <w:t>SciELO. SciELO Publishing Schema (SPS). Disponível em: https://scielo.readthedocs.io/. Acesso em: 30 maio 2026.</w:t>
      </w:r>
    </w:p>
    <w:p>
      <w:r>
        <w:rPr>
          <w:rFonts w:ascii="Times New Roman" w:hAnsi="Times New Roman"/>
          <w:b w:val="0"/>
          <w:i w:val="0"/>
          <w:sz w:val="24"/>
        </w:rPr>
        <w:t>SciELO Tools. MarkAPI — Research Communication Tools. Disponível em: https://github.com/scieloorg/markapi. Acesso em: 30 maio 2026.</w:t>
      </w:r>
    </w:p>
    <w:p>
      <w:r>
        <w:rPr>
          <w:rFonts w:ascii="Times New Roman" w:hAnsi="Times New Roman"/>
          <w:b w:val="0"/>
          <w:i w:val="0"/>
          <w:sz w:val="24"/>
        </w:rPr>
        <w:t>NIKON CORPORATION. 1991-2006. NIS-Elements, version 2.33. Tokyo, Japan.</w:t>
      </w:r>
    </w:p>
    <w:p>
      <w:r>
        <w:rPr>
          <w:rFonts w:ascii="Times New Roman" w:hAnsi="Times New Roman"/>
          <w:b w:val="0"/>
          <w:i w:val="0"/>
          <w:sz w:val="24"/>
        </w:rPr>
        <w:t>LUCAS LEÃO; PEROBBELLI, F. S.; RIBEIRO, H. M. D. 2024. Data for: Ação Coletiva Institucional e Consórcio Públicos Intermunicipais no Brasil. DOI: 10.48331/scielodata.5Z4TMP. SciELO Data, V1.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