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19" w:name="_GoBack"/>
      <w:bookmarkEnd w:id="19"/>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Exonerar Vehículos Oficiales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ascii="SimSun" w:hAnsi="SimSun" w:eastAsia="SimSun" w:cstheme="minorBidi"/>
          <w:sz w:val="21"/>
          <w:szCs w:val="22"/>
          <w:lang w:val="es-CO" w:eastAsia="en-US" w:bidi="ar-SA"/>
        </w:rPr>
        <w:id w:val="147479199"/>
        <w15:color w:val="DBDBDB"/>
        <w:docPartObj>
          <w:docPartGallery w:val="Table of Contents"/>
          <w:docPartUnique/>
        </w:docPartObj>
      </w:sdtPr>
      <w:sdtEndPr>
        <w:rPr>
          <w:rFonts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pPr>
        </w:p>
        <w:p>
          <w:pPr>
            <w:pStyle w:val="12"/>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_Toc656 </w:instrText>
          </w:r>
          <w:r>
            <w:rPr>
              <w:rFonts w:hint="default" w:ascii="Arial" w:hAnsi="Arial" w:cs="Arial"/>
              <w:sz w:val="24"/>
              <w:szCs w:val="24"/>
            </w:rPr>
            <w:fldChar w:fldCharType="separate"/>
          </w:r>
          <w:r>
            <w:rPr>
              <w:rFonts w:hint="default" w:ascii="Arial" w:hAnsi="Arial" w:cs="Arial"/>
              <w:sz w:val="24"/>
              <w:szCs w:val="24"/>
              <w:lang w:val="es-CO" w:eastAsia="zh-CN"/>
            </w:rPr>
            <w:t>1. EXONERAR VEHÍCULOS OFICIALES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_Toc656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_Toc17076 </w:instrText>
          </w:r>
          <w:r>
            <w:rPr>
              <w:rFonts w:hint="default" w:ascii="Arial" w:hAnsi="Arial" w:cs="Arial"/>
              <w:sz w:val="24"/>
              <w:szCs w:val="24"/>
            </w:rPr>
            <w:fldChar w:fldCharType="separate"/>
          </w:r>
          <w:r>
            <w:rPr>
              <w:rFonts w:hint="default" w:ascii="Arial" w:hAnsi="Arial" w:cs="Arial"/>
              <w:sz w:val="24"/>
              <w:szCs w:val="24"/>
              <w:lang w:val="es-CO"/>
            </w:rPr>
            <w:t xml:space="preserve">1.1. </w:t>
          </w:r>
          <w:r>
            <w:rPr>
              <w:rFonts w:hint="default" w:ascii="Arial" w:hAnsi="Arial" w:cs="Arial"/>
              <w:sz w:val="24"/>
              <w:szCs w:val="24"/>
            </w:rPr>
            <w:t>Re</w:t>
          </w:r>
          <w:r>
            <w:rPr>
              <w:rFonts w:hint="default" w:ascii="Arial" w:hAnsi="Arial" w:cs="Arial"/>
              <w:sz w:val="24"/>
              <w:szCs w:val="24"/>
              <w:lang w:val="es-CO"/>
            </w:rPr>
            <w:t>gistro Acto Administrativo: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_Toc17076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_Toc9932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_Toc9932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_Toc31467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_Toc31467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_Toc29576 </w:instrText>
          </w:r>
          <w:r>
            <w:rPr>
              <w:rFonts w:hint="default" w:ascii="Arial" w:hAnsi="Arial" w:cs="Arial"/>
              <w:sz w:val="24"/>
              <w:szCs w:val="24"/>
            </w:rPr>
            <w:fldChar w:fldCharType="separate"/>
          </w:r>
          <w:r>
            <w:rPr>
              <w:rFonts w:hint="default" w:ascii="Arial" w:hAnsi="Arial" w:cs="Arial"/>
              <w:sz w:val="24"/>
              <w:szCs w:val="24"/>
              <w:lang w:val="es-CO"/>
            </w:rPr>
            <w:t>1.2. Aplicación Acto Administrativo: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_Toc29576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_Toc2101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_Toc2101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_Toc30284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_Toc30284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_Toc28832 </w:instrText>
          </w:r>
          <w:r>
            <w:rPr>
              <w:rFonts w:hint="default" w:ascii="Arial" w:hAnsi="Arial" w:cs="Arial"/>
              <w:sz w:val="24"/>
              <w:szCs w:val="24"/>
            </w:rPr>
            <w:fldChar w:fldCharType="separate"/>
          </w:r>
          <w:r>
            <w:rPr>
              <w:rFonts w:hint="default" w:ascii="Arial" w:hAnsi="Arial" w:cs="Arial"/>
              <w:sz w:val="24"/>
              <w:szCs w:val="24"/>
              <w:lang w:val="es-CO"/>
            </w:rPr>
            <w:t>1.3. Modificación Acto Administrativo: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_Toc28832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_Toc6412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_Toc6412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_Toc27134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_Toc27134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_Toc10044 </w:instrText>
          </w:r>
          <w:r>
            <w:rPr>
              <w:rFonts w:hint="default" w:ascii="Arial" w:hAnsi="Arial" w:cs="Arial"/>
              <w:sz w:val="24"/>
              <w:szCs w:val="24"/>
            </w:rPr>
            <w:fldChar w:fldCharType="separate"/>
          </w:r>
          <w:r>
            <w:rPr>
              <w:rFonts w:hint="default" w:ascii="Arial" w:hAnsi="Arial" w:cs="Arial"/>
              <w:sz w:val="24"/>
              <w:szCs w:val="24"/>
              <w:lang w:val="es-CO"/>
            </w:rPr>
            <w:t>1.4. Invalidar Exoneraciones: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_Toc10044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_Toc29493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_Toc29493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_Toc2142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_Toc2142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3077"/>
      <w:bookmarkStart w:id="1" w:name="_Toc656"/>
      <w:r>
        <w:rPr>
          <w:rFonts w:hint="default"/>
          <w:lang w:val="es-CO" w:eastAsia="zh-CN"/>
        </w:rPr>
        <w:t>E</w:t>
      </w:r>
      <w:bookmarkEnd w:id="0"/>
      <w:r>
        <w:rPr>
          <w:rFonts w:hint="default"/>
          <w:lang w:val="es-CO" w:eastAsia="zh-CN"/>
        </w:rPr>
        <w:t>XONERAR VEHÍCULOS OFICIALES</w:t>
      </w:r>
      <w:bookmarkEnd w:id="1"/>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w:t>
      </w:r>
      <w:r>
        <w:rPr>
          <w:rFonts w:hint="default" w:ascii="Arial" w:hAnsi="Arial" w:cs="Arial"/>
          <w:sz w:val="24"/>
          <w:szCs w:val="24"/>
          <w:lang w:val="es-CO"/>
        </w:rPr>
        <w:t>llevar a cabo el proceso de exoneración de vehículos</w:t>
      </w:r>
    </w:p>
    <w:p>
      <w:pPr>
        <w:spacing w:after="0" w:line="360" w:lineRule="auto"/>
        <w:jc w:val="both"/>
        <w:rPr>
          <w:rFonts w:hint="default" w:ascii="Arial" w:hAnsi="Arial" w:cs="Arial"/>
          <w:sz w:val="24"/>
          <w:szCs w:val="24"/>
          <w:lang w:val="es-CO"/>
        </w:rPr>
      </w:pPr>
    </w:p>
    <w:p>
      <w:pPr>
        <w:pStyle w:val="3"/>
        <w:numPr>
          <w:ilvl w:val="1"/>
          <w:numId w:val="1"/>
        </w:numPr>
        <w:spacing w:before="0"/>
        <w:rPr>
          <w:rFonts w:hint="default" w:cs="Arial"/>
          <w:szCs w:val="24"/>
          <w:lang w:val="es-CO"/>
        </w:rPr>
      </w:pPr>
      <w:bookmarkStart w:id="2" w:name="_Toc76995126"/>
      <w:bookmarkStart w:id="3" w:name="_Toc31639"/>
      <w:bookmarkStart w:id="4" w:name="_Toc17076"/>
      <w:r>
        <w:rPr>
          <w:rFonts w:cs="Arial"/>
          <w:szCs w:val="24"/>
        </w:rPr>
        <w:t>Re</w:t>
      </w:r>
      <w:bookmarkEnd w:id="2"/>
      <w:r>
        <w:rPr>
          <w:rFonts w:hint="default" w:cs="Arial"/>
          <w:szCs w:val="24"/>
          <w:lang w:val="es-CO"/>
        </w:rPr>
        <w:t>gistro Acto Administrativo:</w:t>
      </w:r>
      <w:bookmarkEnd w:id="3"/>
      <w:bookmarkEnd w:id="4"/>
      <w:r>
        <w:rPr>
          <w:rFonts w:hint="default" w:cs="Arial"/>
          <w:szCs w:val="24"/>
          <w:lang w:val="es-CO"/>
        </w:rPr>
        <w:t xml:space="preserve"> </w:t>
      </w:r>
    </w:p>
    <w:p>
      <w:pPr>
        <w:pStyle w:val="3"/>
        <w:spacing w:before="0"/>
        <w:rPr>
          <w:rFonts w:cs="Arial"/>
          <w:szCs w:val="24"/>
        </w:rPr>
      </w:pPr>
      <w:bookmarkStart w:id="5" w:name="_Toc9932"/>
      <w:bookmarkStart w:id="6" w:name="_Toc76995127"/>
      <w:bookmarkStart w:id="7" w:name="_Toc31843"/>
      <w:r>
        <w:rPr>
          <w:rFonts w:cs="Arial"/>
          <w:szCs w:val="24"/>
        </w:rPr>
        <w:t>1.1.1. Acceso a la opción</w:t>
      </w:r>
      <w:bookmarkEnd w:id="5"/>
      <w:bookmarkEnd w:id="6"/>
      <w:bookmarkEnd w:id="7"/>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Exonerar Vehículos Oficiales</w:t>
      </w:r>
      <w:r>
        <w:rPr>
          <w:rStyle w:val="25"/>
          <w:rFonts w:hint="default" w:ascii="Arial" w:hAnsi="Arial" w:cs="Arial"/>
          <w:sz w:val="24"/>
          <w:szCs w:val="24"/>
          <w:lang w:val="es-CO"/>
        </w:rPr>
        <w:t xml:space="preserve"> y por último en </w:t>
      </w:r>
      <w:r>
        <w:rPr>
          <w:rStyle w:val="25"/>
          <w:rFonts w:ascii="Arial" w:hAnsi="Arial" w:cs="Arial"/>
          <w:sz w:val="24"/>
          <w:szCs w:val="24"/>
        </w:rPr>
        <w:t xml:space="preserve"> </w:t>
      </w:r>
      <w:r>
        <w:rPr>
          <w:rStyle w:val="25"/>
          <w:rFonts w:ascii="Arial" w:hAnsi="Arial" w:cs="Arial"/>
          <w:color w:val="0047AC"/>
          <w:sz w:val="24"/>
          <w:szCs w:val="24"/>
        </w:rPr>
        <w:t>Re</w:t>
      </w:r>
      <w:r>
        <w:rPr>
          <w:rStyle w:val="25"/>
          <w:rFonts w:hint="default" w:ascii="Arial" w:hAnsi="Arial" w:cs="Arial"/>
          <w:color w:val="0047AC"/>
          <w:sz w:val="24"/>
          <w:szCs w:val="24"/>
          <w:lang w:val="es-CO"/>
        </w:rPr>
        <w:t>gistro Acto Administrativo</w:t>
      </w:r>
    </w:p>
    <w:p>
      <w:pPr>
        <w:rPr>
          <w:rFonts w:hint="default"/>
          <w:lang w:val="es-CO" w:eastAsia="zh-CN"/>
        </w:rPr>
      </w:pPr>
    </w:p>
    <w:p>
      <w:pPr>
        <w:jc w:val="center"/>
      </w:pPr>
      <w:r>
        <w:drawing>
          <wp:inline distT="0" distB="0" distL="114300" distR="114300">
            <wp:extent cx="3030220" cy="780415"/>
            <wp:effectExtent l="9525" t="9525" r="27305" b="1016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9"/>
                    <a:stretch>
                      <a:fillRect/>
                    </a:stretch>
                  </pic:blipFill>
                  <pic:spPr>
                    <a:xfrm>
                      <a:off x="0" y="0"/>
                      <a:ext cx="3030220" cy="78041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Registro Acto Administrativo</w:t>
      </w:r>
    </w:p>
    <w:p>
      <w:pPr>
        <w:jc w:val="both"/>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4386580" cy="4045585"/>
            <wp:effectExtent l="9525" t="9525" r="23495" b="2159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10"/>
                    <a:stretch>
                      <a:fillRect/>
                    </a:stretch>
                  </pic:blipFill>
                  <pic:spPr>
                    <a:xfrm>
                      <a:off x="0" y="0"/>
                      <a:ext cx="4386580" cy="404558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Registro Acto Administrativo</w:t>
      </w:r>
    </w:p>
    <w:p>
      <w:pPr>
        <w:pStyle w:val="3"/>
        <w:spacing w:before="0"/>
      </w:pPr>
      <w:bookmarkStart w:id="8" w:name="_Toc31467"/>
      <w:bookmarkStart w:id="9"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8"/>
      <w:bookmarkEnd w:id="9"/>
    </w:p>
    <w:p>
      <w:pPr>
        <w:jc w:val="both"/>
      </w:pPr>
      <w:r>
        <w:rPr>
          <w:rFonts w:hint="default" w:ascii="Arial" w:hAnsi="Arial"/>
          <w:sz w:val="24"/>
          <w:szCs w:val="24"/>
          <w:lang w:val="es-CO"/>
        </w:rPr>
        <w:t>Para realizar una exoneración se debe digitar el número y la fecha de la resolución de exoneración, y a continuación, ingrese la identificación de los vehículos a exonerar; para cada uno de estos, seleccione el tipo de servicio según corresponda.</w:t>
      </w:r>
    </w:p>
    <w:p>
      <w:pPr>
        <w:numPr>
          <w:ilvl w:val="0"/>
          <w:numId w:val="0"/>
        </w:numPr>
        <w:ind w:leftChars="0"/>
        <w:jc w:val="center"/>
      </w:pPr>
    </w:p>
    <w:p>
      <w:pPr>
        <w:numPr>
          <w:ilvl w:val="0"/>
          <w:numId w:val="0"/>
        </w:numPr>
        <w:ind w:leftChars="0"/>
        <w:jc w:val="center"/>
      </w:pPr>
      <w:r>
        <w:drawing>
          <wp:inline distT="0" distB="0" distL="114300" distR="114300">
            <wp:extent cx="3601085" cy="2577465"/>
            <wp:effectExtent l="9525" t="9525" r="27940" b="2286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pic:cNvPicPr>
                      <a:picLocks noChangeAspect="1"/>
                    </pic:cNvPicPr>
                  </pic:nvPicPr>
                  <pic:blipFill>
                    <a:blip r:embed="rId11"/>
                    <a:stretch>
                      <a:fillRect/>
                    </a:stretch>
                  </pic:blipFill>
                  <pic:spPr>
                    <a:xfrm>
                      <a:off x="0" y="0"/>
                      <a:ext cx="3601085" cy="257746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Consulta y Gestión Registro Acto Administrativo</w:t>
      </w:r>
    </w:p>
    <w:p>
      <w:pPr>
        <w:numPr>
          <w:ilvl w:val="0"/>
          <w:numId w:val="0"/>
        </w:numPr>
        <w:ind w:leftChars="0"/>
        <w:jc w:val="center"/>
        <w:rPr>
          <w:rFonts w:hint="default"/>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Luego de diligenciar cada uno de los campos, haga clic en el botón </w:t>
      </w:r>
      <w:r>
        <w:drawing>
          <wp:inline distT="0" distB="0" distL="114300" distR="114300">
            <wp:extent cx="1478915" cy="287020"/>
            <wp:effectExtent l="0" t="0" r="6985" b="1778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12"/>
                    <a:stretch>
                      <a:fillRect/>
                    </a:stretch>
                  </pic:blipFill>
                  <pic:spPr>
                    <a:xfrm>
                      <a:off x="0" y="0"/>
                      <a:ext cx="1478915" cy="287020"/>
                    </a:xfrm>
                    <a:prstGeom prst="rect">
                      <a:avLst/>
                    </a:prstGeom>
                    <a:noFill/>
                    <a:ln>
                      <a:noFill/>
                    </a:ln>
                  </pic:spPr>
                </pic:pic>
              </a:graphicData>
            </a:graphic>
          </wp:inline>
        </w:drawing>
      </w:r>
      <w:r>
        <w:rPr>
          <w:rFonts w:hint="default" w:ascii="Arial" w:hAnsi="Arial"/>
          <w:sz w:val="24"/>
          <w:szCs w:val="24"/>
          <w:lang w:val="es-CO" w:eastAsia="zh-CN"/>
        </w:rPr>
        <w:t xml:space="preserve">. </w:t>
      </w:r>
    </w:p>
    <w:p>
      <w:pPr>
        <w:jc w:val="both"/>
        <w:rPr>
          <w:rFonts w:hint="default" w:ascii="Arial" w:hAnsi="Arial"/>
          <w:sz w:val="24"/>
          <w:szCs w:val="24"/>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Luego de oprimir este botón se visualizarán los siguiente mensajes de alerta los cuales se deben confirmas los registros haciendo clic en el botón </w:t>
      </w:r>
      <w:r>
        <w:drawing>
          <wp:inline distT="0" distB="0" distL="114300" distR="114300">
            <wp:extent cx="552450" cy="238125"/>
            <wp:effectExtent l="0" t="0" r="0" b="9525"/>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
                    <pic:cNvPicPr>
                      <a:picLocks noChangeAspect="1"/>
                    </pic:cNvPicPr>
                  </pic:nvPicPr>
                  <pic:blipFill>
                    <a:blip r:embed="rId13"/>
                    <a:stretch>
                      <a:fillRect/>
                    </a:stretch>
                  </pic:blipFill>
                  <pic:spPr>
                    <a:xfrm>
                      <a:off x="0" y="0"/>
                      <a:ext cx="552450" cy="238125"/>
                    </a:xfrm>
                    <a:prstGeom prst="rect">
                      <a:avLst/>
                    </a:prstGeom>
                    <a:noFill/>
                    <a:ln>
                      <a:noFill/>
                    </a:ln>
                  </pic:spPr>
                </pic:pic>
              </a:graphicData>
            </a:graphic>
          </wp:inline>
        </w:drawing>
      </w:r>
    </w:p>
    <w:p>
      <w:pPr>
        <w:jc w:val="both"/>
        <w:rPr>
          <w:rFonts w:hint="default" w:ascii="Arial" w:hAnsi="Arial"/>
          <w:sz w:val="24"/>
          <w:szCs w:val="24"/>
          <w:lang w:val="es-CO" w:eastAsia="zh-CN"/>
        </w:rPr>
      </w:pPr>
    </w:p>
    <w:p>
      <w:pPr>
        <w:jc w:val="center"/>
      </w:pPr>
      <w:r>
        <w:drawing>
          <wp:inline distT="0" distB="0" distL="114300" distR="114300">
            <wp:extent cx="3314700" cy="1170940"/>
            <wp:effectExtent l="9525" t="9525" r="9525" b="19685"/>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
                    <pic:cNvPicPr>
                      <a:picLocks noChangeAspect="1"/>
                    </pic:cNvPicPr>
                  </pic:nvPicPr>
                  <pic:blipFill>
                    <a:blip r:embed="rId14"/>
                    <a:stretch>
                      <a:fillRect/>
                    </a:stretch>
                  </pic:blipFill>
                  <pic:spPr>
                    <a:xfrm>
                      <a:off x="0" y="0"/>
                      <a:ext cx="3314700" cy="1170940"/>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Mensaje de Alerta</w:t>
      </w:r>
    </w:p>
    <w:p>
      <w:pPr>
        <w:jc w:val="both"/>
        <w:rPr>
          <w:rFonts w:hint="default" w:ascii="Arial" w:hAnsi="Arial"/>
          <w:sz w:val="24"/>
          <w:szCs w:val="24"/>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sistema realizará el registro de la resolución la cual debe ser posteriormente aprobada por la</w:t>
      </w:r>
    </w:p>
    <w:p>
      <w:pPr>
        <w:jc w:val="both"/>
        <w:rPr>
          <w:rFonts w:hint="default" w:ascii="Arial" w:hAnsi="Arial"/>
          <w:sz w:val="24"/>
          <w:szCs w:val="24"/>
          <w:lang w:val="es-CO" w:eastAsia="zh-CN"/>
        </w:rPr>
      </w:pPr>
      <w:r>
        <w:rPr>
          <w:rFonts w:hint="default" w:ascii="Arial" w:hAnsi="Arial"/>
          <w:sz w:val="24"/>
          <w:szCs w:val="24"/>
          <w:lang w:val="es-CO" w:eastAsia="zh-CN"/>
        </w:rPr>
        <w:t>opción de Aplicación de Acto Administrativo.</w:t>
      </w:r>
    </w:p>
    <w:p>
      <w:pPr>
        <w:pStyle w:val="3"/>
        <w:numPr>
          <w:ilvl w:val="1"/>
          <w:numId w:val="1"/>
        </w:numPr>
        <w:spacing w:before="0"/>
        <w:rPr>
          <w:rFonts w:hint="default" w:cs="Arial"/>
          <w:szCs w:val="24"/>
          <w:lang w:val="es-CO"/>
        </w:rPr>
      </w:pPr>
      <w:bookmarkStart w:id="10" w:name="_Toc29576"/>
      <w:r>
        <w:rPr>
          <w:rFonts w:hint="default" w:cs="Arial"/>
          <w:szCs w:val="24"/>
          <w:lang w:val="es-CO"/>
        </w:rPr>
        <w:t>Aplicación Acto Administrativo:</w:t>
      </w:r>
      <w:bookmarkEnd w:id="10"/>
      <w:r>
        <w:rPr>
          <w:rFonts w:hint="default" w:cs="Arial"/>
          <w:szCs w:val="24"/>
          <w:lang w:val="es-CO"/>
        </w:rPr>
        <w:t xml:space="preserve"> </w:t>
      </w:r>
    </w:p>
    <w:p>
      <w:pPr>
        <w:pStyle w:val="3"/>
        <w:spacing w:before="0"/>
        <w:rPr>
          <w:rFonts w:cs="Arial"/>
          <w:szCs w:val="24"/>
        </w:rPr>
      </w:pPr>
      <w:bookmarkStart w:id="11" w:name="_Toc2101"/>
      <w:r>
        <w:rPr>
          <w:rFonts w:cs="Arial"/>
          <w:szCs w:val="24"/>
        </w:rPr>
        <w:t>1.</w:t>
      </w:r>
      <w:r>
        <w:rPr>
          <w:rFonts w:hint="default" w:cs="Arial"/>
          <w:szCs w:val="24"/>
          <w:lang w:val="es-CO"/>
        </w:rPr>
        <w:t>2</w:t>
      </w:r>
      <w:r>
        <w:rPr>
          <w:rFonts w:cs="Arial"/>
          <w:szCs w:val="24"/>
        </w:rPr>
        <w:t>.1. Acceso a la opción</w:t>
      </w:r>
      <w:bookmarkEnd w:id="11"/>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Exonerar Vehículos Oficiales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Aplicación Acto Administrativo</w:t>
      </w:r>
    </w:p>
    <w:p>
      <w:pPr>
        <w:jc w:val="both"/>
        <w:rPr>
          <w:rFonts w:hint="default" w:ascii="Arial" w:hAnsi="Arial"/>
          <w:sz w:val="24"/>
          <w:szCs w:val="24"/>
          <w:lang w:val="es-CO" w:eastAsia="zh-CN"/>
        </w:rPr>
      </w:pPr>
    </w:p>
    <w:p>
      <w:pPr>
        <w:jc w:val="center"/>
      </w:pPr>
      <w:r>
        <w:drawing>
          <wp:inline distT="0" distB="0" distL="114300" distR="114300">
            <wp:extent cx="3302635" cy="826135"/>
            <wp:effectExtent l="9525" t="9525" r="21590" b="21590"/>
            <wp:docPr id="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8"/>
                    <pic:cNvPicPr>
                      <a:picLocks noChangeAspect="1"/>
                    </pic:cNvPicPr>
                  </pic:nvPicPr>
                  <pic:blipFill>
                    <a:blip r:embed="rId15"/>
                    <a:stretch>
                      <a:fillRect/>
                    </a:stretch>
                  </pic:blipFill>
                  <pic:spPr>
                    <a:xfrm>
                      <a:off x="0" y="0"/>
                      <a:ext cx="3302635" cy="82613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Acceso a la opción Aplicación Acto Administrativo</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center"/>
        <w:rPr>
          <w:rFonts w:hint="default"/>
          <w:lang w:val="es-CO" w:eastAsia="zh-CN"/>
        </w:rPr>
      </w:pPr>
    </w:p>
    <w:p>
      <w:pPr>
        <w:jc w:val="center"/>
      </w:pPr>
      <w:r>
        <w:drawing>
          <wp:inline distT="0" distB="0" distL="114300" distR="114300">
            <wp:extent cx="3993515" cy="4711065"/>
            <wp:effectExtent l="9525" t="9525" r="16510" b="22860"/>
            <wp:docPr id="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9"/>
                    <pic:cNvPicPr>
                      <a:picLocks noChangeAspect="1"/>
                    </pic:cNvPicPr>
                  </pic:nvPicPr>
                  <pic:blipFill>
                    <a:blip r:embed="rId16"/>
                    <a:stretch>
                      <a:fillRect/>
                    </a:stretch>
                  </pic:blipFill>
                  <pic:spPr>
                    <a:xfrm>
                      <a:off x="0" y="0"/>
                      <a:ext cx="3993515" cy="471106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Aplicación Acto Administrativo</w:t>
      </w:r>
    </w:p>
    <w:p>
      <w:pPr>
        <w:pStyle w:val="3"/>
        <w:spacing w:before="0"/>
      </w:pPr>
      <w:bookmarkStart w:id="12" w:name="_Toc30284"/>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2"/>
    </w:p>
    <w:p>
      <w:pPr>
        <w:jc w:val="both"/>
        <w:rPr>
          <w:rStyle w:val="25"/>
          <w:rFonts w:hint="default" w:ascii="Arial" w:hAnsi="Arial" w:cs="Arial"/>
          <w:sz w:val="24"/>
          <w:szCs w:val="24"/>
          <w:lang w:val="es-CO" w:eastAsia="zh-CN"/>
        </w:rPr>
      </w:pPr>
      <w:r>
        <w:rPr>
          <w:rStyle w:val="25"/>
          <w:rFonts w:hint="default" w:ascii="Arial" w:hAnsi="Arial" w:cs="Arial"/>
          <w:sz w:val="24"/>
          <w:szCs w:val="24"/>
          <w:lang w:val="es-CO" w:eastAsia="zh-CN"/>
        </w:rPr>
        <w:t>Haga clic sobre la resolución a procesar, y a continuación, al inferior (Sección Detallado) se mostrará la lista de vehículos candidatos a exonerar. Al igual que las resoluciones, el listado de vehículos muestra la casilla Exonerado marcada o desmarcada según el caso.</w:t>
      </w:r>
    </w:p>
    <w:p>
      <w:pPr>
        <w:jc w:val="both"/>
        <w:rPr>
          <w:rStyle w:val="25"/>
          <w:rFonts w:hint="default" w:ascii="Arial" w:hAnsi="Arial" w:cs="Arial"/>
          <w:sz w:val="24"/>
          <w:szCs w:val="24"/>
          <w:lang w:val="es-CO" w:eastAsia="zh-CN"/>
        </w:rPr>
      </w:pPr>
    </w:p>
    <w:p>
      <w:pPr>
        <w:jc w:val="both"/>
        <w:rPr>
          <w:rStyle w:val="25"/>
          <w:rFonts w:hint="default" w:ascii="Arial" w:hAnsi="Arial" w:cs="Arial"/>
          <w:sz w:val="24"/>
          <w:szCs w:val="24"/>
          <w:lang w:val="es-CO" w:eastAsia="zh-CN"/>
        </w:rPr>
      </w:pPr>
      <w:r>
        <w:rPr>
          <w:rStyle w:val="25"/>
          <w:rFonts w:hint="default" w:ascii="Arial" w:hAnsi="Arial" w:cs="Arial"/>
          <w:sz w:val="24"/>
          <w:szCs w:val="24"/>
          <w:lang w:val="es-CO" w:eastAsia="zh-CN"/>
        </w:rPr>
        <w:t>Seleccione los vehículos a exonerar, haciendo clic en la casilla Aplicar que se encuentra a la derecha del listado de vehículos.</w:t>
      </w:r>
    </w:p>
    <w:p>
      <w:pPr>
        <w:jc w:val="both"/>
        <w:rPr>
          <w:rStyle w:val="25"/>
          <w:rFonts w:hint="default" w:ascii="Arial" w:hAnsi="Arial" w:cs="Arial"/>
          <w:sz w:val="24"/>
          <w:szCs w:val="24"/>
          <w:lang w:val="es-CO" w:eastAsia="zh-CN"/>
        </w:rPr>
      </w:pPr>
    </w:p>
    <w:p>
      <w:pPr>
        <w:jc w:val="center"/>
      </w:pPr>
      <w:r>
        <w:drawing>
          <wp:inline distT="0" distB="0" distL="114300" distR="114300">
            <wp:extent cx="687070" cy="922655"/>
            <wp:effectExtent l="9525" t="9525" r="27305" b="2032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
                    <pic:cNvPicPr>
                      <a:picLocks noChangeAspect="1"/>
                    </pic:cNvPicPr>
                  </pic:nvPicPr>
                  <pic:blipFill>
                    <a:blip r:embed="rId17"/>
                    <a:stretch>
                      <a:fillRect/>
                    </a:stretch>
                  </pic:blipFill>
                  <pic:spPr>
                    <a:xfrm>
                      <a:off x="0" y="0"/>
                      <a:ext cx="687070" cy="922655"/>
                    </a:xfrm>
                    <a:prstGeom prst="rect">
                      <a:avLst/>
                    </a:prstGeom>
                    <a:noFill/>
                    <a:ln>
                      <a:solidFill>
                        <a:schemeClr val="accent1"/>
                      </a:solid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7Aplicar</w:t>
      </w:r>
    </w:p>
    <w:p>
      <w:pPr>
        <w:jc w:val="both"/>
        <w:rPr>
          <w:rStyle w:val="25"/>
          <w:rFonts w:hint="default" w:ascii="Arial" w:hAnsi="Arial" w:cs="Arial"/>
          <w:sz w:val="24"/>
          <w:szCs w:val="24"/>
          <w:lang w:val="es-CO" w:eastAsia="zh-CN"/>
        </w:rPr>
      </w:pPr>
    </w:p>
    <w:p>
      <w:pPr>
        <w:jc w:val="both"/>
        <w:rPr>
          <w:rStyle w:val="25"/>
          <w:rFonts w:hint="default" w:ascii="Arial" w:hAnsi="Arial" w:cs="Arial"/>
          <w:sz w:val="24"/>
          <w:szCs w:val="24"/>
          <w:lang w:val="es-CO" w:eastAsia="zh-CN"/>
        </w:rPr>
      </w:pPr>
      <w:r>
        <w:rPr>
          <w:rStyle w:val="25"/>
          <w:rFonts w:hint="default" w:ascii="Arial" w:hAnsi="Arial" w:cs="Arial"/>
          <w:sz w:val="24"/>
          <w:szCs w:val="24"/>
          <w:lang w:val="es-CO" w:eastAsia="zh-CN"/>
        </w:rPr>
        <w:t xml:space="preserve"> Finalmente, haga clic en </w:t>
      </w:r>
      <w:r>
        <w:drawing>
          <wp:inline distT="0" distB="0" distL="114300" distR="114300">
            <wp:extent cx="1604010" cy="323215"/>
            <wp:effectExtent l="0" t="0" r="15240" b="635"/>
            <wp:docPr id="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1"/>
                    <pic:cNvPicPr>
                      <a:picLocks noChangeAspect="1"/>
                    </pic:cNvPicPr>
                  </pic:nvPicPr>
                  <pic:blipFill>
                    <a:blip r:embed="rId18"/>
                    <a:stretch>
                      <a:fillRect/>
                    </a:stretch>
                  </pic:blipFill>
                  <pic:spPr>
                    <a:xfrm>
                      <a:off x="0" y="0"/>
                      <a:ext cx="1604010" cy="323215"/>
                    </a:xfrm>
                    <a:prstGeom prst="rect">
                      <a:avLst/>
                    </a:prstGeom>
                    <a:noFill/>
                    <a:ln>
                      <a:noFill/>
                    </a:ln>
                  </pic:spPr>
                </pic:pic>
              </a:graphicData>
            </a:graphic>
          </wp:inline>
        </w:drawing>
      </w:r>
      <w:r>
        <w:rPr>
          <w:rStyle w:val="25"/>
          <w:rFonts w:hint="default" w:ascii="Arial" w:hAnsi="Arial" w:cs="Arial"/>
          <w:sz w:val="24"/>
          <w:szCs w:val="24"/>
          <w:lang w:val="es-CO" w:eastAsia="zh-CN"/>
        </w:rPr>
        <w:t>.</w:t>
      </w:r>
    </w:p>
    <w:p>
      <w:pPr>
        <w:rPr>
          <w:rStyle w:val="25"/>
          <w:rFonts w:hint="default" w:ascii="Arial" w:hAnsi="Arial" w:cs="Arial"/>
          <w:sz w:val="24"/>
          <w:szCs w:val="24"/>
          <w:lang w:val="es-CO" w:eastAsia="zh-CN"/>
        </w:rPr>
      </w:pPr>
      <w:r>
        <w:rPr>
          <w:rStyle w:val="25"/>
          <w:rFonts w:hint="default" w:ascii="Arial" w:hAnsi="Arial" w:cs="Arial"/>
          <w:sz w:val="24"/>
          <w:szCs w:val="24"/>
          <w:lang w:val="es-CO" w:eastAsia="zh-CN"/>
        </w:rPr>
        <w:br w:type="page"/>
      </w:r>
    </w:p>
    <w:p>
      <w:pPr>
        <w:pStyle w:val="3"/>
        <w:numPr>
          <w:ilvl w:val="1"/>
          <w:numId w:val="1"/>
        </w:numPr>
        <w:spacing w:before="0"/>
        <w:rPr>
          <w:rFonts w:hint="default" w:cs="Arial"/>
          <w:szCs w:val="24"/>
          <w:lang w:val="es-CO"/>
        </w:rPr>
      </w:pPr>
      <w:bookmarkStart w:id="13" w:name="_Toc28832"/>
      <w:r>
        <w:rPr>
          <w:rFonts w:hint="default" w:cs="Arial"/>
          <w:szCs w:val="24"/>
          <w:lang w:val="es-CO"/>
        </w:rPr>
        <w:t>Modificación Acto Administrativo:</w:t>
      </w:r>
      <w:bookmarkEnd w:id="13"/>
      <w:r>
        <w:rPr>
          <w:rFonts w:hint="default" w:cs="Arial"/>
          <w:szCs w:val="24"/>
          <w:lang w:val="es-CO"/>
        </w:rPr>
        <w:t xml:space="preserve"> </w:t>
      </w:r>
    </w:p>
    <w:p>
      <w:pPr>
        <w:pStyle w:val="3"/>
        <w:spacing w:before="0"/>
        <w:rPr>
          <w:rFonts w:cs="Arial"/>
          <w:szCs w:val="24"/>
        </w:rPr>
      </w:pPr>
      <w:bookmarkStart w:id="14" w:name="_Toc6412"/>
      <w:r>
        <w:rPr>
          <w:rFonts w:cs="Arial"/>
          <w:szCs w:val="24"/>
        </w:rPr>
        <w:t>1.</w:t>
      </w:r>
      <w:r>
        <w:rPr>
          <w:rFonts w:hint="default" w:cs="Arial"/>
          <w:szCs w:val="24"/>
          <w:lang w:val="es-CO"/>
        </w:rPr>
        <w:t>3</w:t>
      </w:r>
      <w:r>
        <w:rPr>
          <w:rFonts w:cs="Arial"/>
          <w:szCs w:val="24"/>
        </w:rPr>
        <w:t>.1. Acceso a la opción</w:t>
      </w:r>
      <w:bookmarkEnd w:id="14"/>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Exonerar Vehículos Oficiales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Modificación Acto Administrativo</w:t>
      </w:r>
    </w:p>
    <w:p>
      <w:pPr>
        <w:jc w:val="both"/>
        <w:rPr>
          <w:rFonts w:hint="default"/>
          <w:lang w:val="es-CO" w:eastAsia="zh-CN"/>
        </w:rPr>
      </w:pPr>
    </w:p>
    <w:p>
      <w:pPr>
        <w:jc w:val="center"/>
      </w:pPr>
      <w:r>
        <w:drawing>
          <wp:inline distT="0" distB="0" distL="114300" distR="114300">
            <wp:extent cx="3837940" cy="884555"/>
            <wp:effectExtent l="9525" t="9525" r="19685" b="20320"/>
            <wp:docPr id="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2"/>
                    <pic:cNvPicPr>
                      <a:picLocks noChangeAspect="1"/>
                    </pic:cNvPicPr>
                  </pic:nvPicPr>
                  <pic:blipFill>
                    <a:blip r:embed="rId19"/>
                    <a:stretch>
                      <a:fillRect/>
                    </a:stretch>
                  </pic:blipFill>
                  <pic:spPr>
                    <a:xfrm>
                      <a:off x="0" y="0"/>
                      <a:ext cx="3837940" cy="88455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Acceso a la opción Modificación Acto Administrativo</w:t>
      </w:r>
    </w:p>
    <w:p>
      <w:pPr>
        <w:rPr>
          <w:rFonts w:hint="default"/>
          <w:lang w:val="es-CO" w:eastAsia="zh-CN"/>
        </w:rPr>
      </w:pPr>
    </w:p>
    <w:p>
      <w:pPr>
        <w:jc w:val="both"/>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5034280" cy="4530090"/>
            <wp:effectExtent l="9525" t="9525" r="23495" b="13335"/>
            <wp:docPr id="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3"/>
                    <pic:cNvPicPr>
                      <a:picLocks noChangeAspect="1"/>
                    </pic:cNvPicPr>
                  </pic:nvPicPr>
                  <pic:blipFill>
                    <a:blip r:embed="rId20"/>
                    <a:stretch>
                      <a:fillRect/>
                    </a:stretch>
                  </pic:blipFill>
                  <pic:spPr>
                    <a:xfrm>
                      <a:off x="0" y="0"/>
                      <a:ext cx="5034280" cy="453009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Modificación Acto Administrativo</w:t>
      </w:r>
    </w:p>
    <w:p>
      <w:pPr>
        <w:pStyle w:val="3"/>
        <w:spacing w:before="0"/>
        <w:rPr>
          <w:rFonts w:hint="default" w:cs="Arial"/>
          <w:szCs w:val="24"/>
          <w:lang w:val="es-CO"/>
        </w:rPr>
      </w:pPr>
      <w:bookmarkStart w:id="15" w:name="_Toc27134"/>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5"/>
    </w:p>
    <w:p>
      <w:pPr>
        <w:rPr>
          <w:rFonts w:hint="default" w:cs="Arial"/>
          <w:szCs w:val="24"/>
          <w:lang w:val="es-CO"/>
        </w:rPr>
      </w:pPr>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9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1051"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sz w:val="24"/>
                <w:szCs w:val="24"/>
              </w:rPr>
            </w:pPr>
          </w:p>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577850" cy="547370"/>
                  <wp:effectExtent l="0" t="0" r="12700" b="5080"/>
                  <wp:docPr id="11"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15"/>
                          <pic:cNvPicPr>
                            <a:picLocks noChangeAspect="1"/>
                          </pic:cNvPicPr>
                        </pic:nvPicPr>
                        <pic:blipFill>
                          <a:blip r:embed="rId21"/>
                          <a:stretch>
                            <a:fillRect/>
                          </a:stretch>
                        </pic:blipFill>
                        <pic:spPr>
                          <a:xfrm>
                            <a:off x="0" y="0"/>
                            <a:ext cx="577850" cy="547370"/>
                          </a:xfrm>
                          <a:prstGeom prst="rect">
                            <a:avLst/>
                          </a:prstGeom>
                        </pic:spPr>
                      </pic:pic>
                    </a:graphicData>
                  </a:graphic>
                </wp:inline>
              </w:drawing>
            </w:r>
          </w:p>
        </w:tc>
        <w:tc>
          <w:tcPr>
            <w:tcW w:w="9466" w:type="dxa"/>
            <w:tcBorders>
              <w:top w:val="single" w:color="auto" w:sz="4" w:space="0"/>
              <w:left w:val="single" w:color="auto" w:sz="4" w:space="0"/>
              <w:bottom w:val="single" w:color="auto" w:sz="4" w:space="0"/>
              <w:right w:val="single" w:color="auto" w:sz="4" w:space="0"/>
            </w:tcBorders>
          </w:tcPr>
          <w:p>
            <w:pPr>
              <w:jc w:val="both"/>
              <w:rPr>
                <w:rFonts w:hint="default" w:ascii="Arial" w:hAnsi="Arial" w:cs="Arial"/>
                <w:sz w:val="24"/>
                <w:szCs w:val="24"/>
                <w:lang w:val="es-CO" w:eastAsia="zh-CN"/>
              </w:rPr>
            </w:pPr>
            <w:r>
              <w:rPr>
                <w:rFonts w:hint="default" w:ascii="Arial" w:hAnsi="Arial" w:cs="Arial"/>
                <w:b/>
                <w:color w:val="0047AC"/>
                <w:sz w:val="24"/>
                <w:szCs w:val="24"/>
                <w:lang w:val="es-CO" w:eastAsia="zh-CN"/>
              </w:rPr>
              <w:t xml:space="preserve">Nota Importante: </w:t>
            </w:r>
            <w:r>
              <w:rPr>
                <w:rFonts w:hint="default" w:ascii="Arial" w:hAnsi="Arial"/>
                <w:sz w:val="24"/>
                <w:szCs w:val="24"/>
                <w:lang w:val="es-CO" w:eastAsia="zh-CN"/>
              </w:rPr>
              <w:t>Se podrán cambiar los datos básicos de la resolución de exoneración, siempre y cuando esta se encuentre aplicada. El sistema le permitirá modificar: la fecha de radicado, fecha de registro, usuario, estado de aplicación.</w:t>
            </w:r>
          </w:p>
          <w:p>
            <w:pPr>
              <w:spacing w:after="0" w:line="360" w:lineRule="auto"/>
              <w:rPr>
                <w:rFonts w:ascii="Arial" w:hAnsi="Arial" w:cs="Arial"/>
                <w:i/>
                <w:iCs/>
                <w:sz w:val="24"/>
                <w:szCs w:val="24"/>
              </w:rPr>
            </w:pPr>
          </w:p>
        </w:tc>
      </w:tr>
    </w:tbl>
    <w:p>
      <w:pPr>
        <w:rPr>
          <w:rFonts w:hint="default" w:cs="Arial"/>
          <w:szCs w:val="24"/>
          <w:lang w:val="es-CO"/>
        </w:rPr>
      </w:pPr>
    </w:p>
    <w:p>
      <w:pPr>
        <w:jc w:val="both"/>
        <w:rPr>
          <w:rFonts w:hint="default" w:ascii="Arial" w:hAnsi="Arial"/>
          <w:sz w:val="24"/>
          <w:szCs w:val="24"/>
          <w:lang w:val="es-CO" w:eastAsia="zh-CN"/>
        </w:rPr>
      </w:pPr>
      <w:r>
        <w:rPr>
          <w:rFonts w:hint="default" w:ascii="Arial" w:hAnsi="Arial"/>
          <w:sz w:val="24"/>
          <w:szCs w:val="24"/>
          <w:lang w:val="es-CO" w:eastAsia="zh-CN"/>
        </w:rPr>
        <w:t>Digitar el número de la resolución a modificar, y presione la tecla Enter para mostrar los datos de la resolución. Recuerde que esta debe estar aplicada, de lo contrario el sistema mostrará un mensaje indicándole que no se pueden realizar modificaciones sobre la resolución.</w:t>
      </w:r>
    </w:p>
    <w:p>
      <w:pPr>
        <w:jc w:val="both"/>
        <w:rPr>
          <w:rFonts w:hint="default" w:ascii="Arial" w:hAnsi="Arial"/>
          <w:sz w:val="24"/>
          <w:szCs w:val="24"/>
          <w:lang w:val="es-CO" w:eastAsia="zh-CN"/>
        </w:rPr>
      </w:pPr>
    </w:p>
    <w:p>
      <w:pPr>
        <w:jc w:val="center"/>
      </w:pPr>
      <w:r>
        <w:drawing>
          <wp:inline distT="0" distB="0" distL="114300" distR="114300">
            <wp:extent cx="5184140" cy="4472305"/>
            <wp:effectExtent l="9525" t="9525" r="26035" b="13970"/>
            <wp:docPr id="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4"/>
                    <pic:cNvPicPr>
                      <a:picLocks noChangeAspect="1"/>
                    </pic:cNvPicPr>
                  </pic:nvPicPr>
                  <pic:blipFill>
                    <a:blip r:embed="rId22"/>
                    <a:stretch>
                      <a:fillRect/>
                    </a:stretch>
                  </pic:blipFill>
                  <pic:spPr>
                    <a:xfrm>
                      <a:off x="0" y="0"/>
                      <a:ext cx="5184140" cy="447230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Consulta Modificación Acto Administrativo</w:t>
      </w:r>
    </w:p>
    <w:p>
      <w:pPr>
        <w:jc w:val="center"/>
      </w:pPr>
    </w:p>
    <w:p>
      <w:pPr>
        <w:pStyle w:val="24"/>
        <w:ind w:left="0"/>
        <w:rPr>
          <w:rStyle w:val="25"/>
          <w:rFonts w:hint="default" w:ascii="Arial" w:hAnsi="Arial" w:cs="Arial"/>
          <w:sz w:val="24"/>
          <w:szCs w:val="24"/>
          <w:lang w:val="es-CO"/>
        </w:rPr>
      </w:pPr>
      <w:r>
        <w:rPr>
          <w:rStyle w:val="25"/>
          <w:rFonts w:hint="default" w:ascii="Arial" w:hAnsi="Arial" w:cs="Arial"/>
          <w:sz w:val="24"/>
          <w:szCs w:val="24"/>
          <w:lang w:val="es-CO" w:eastAsia="zh-CN"/>
        </w:rPr>
        <w:t xml:space="preserve">Luego, realice las modificaciones de los datos, y a continuación, haga clic en el botón </w:t>
      </w:r>
      <w:r>
        <w:rPr>
          <w:rStyle w:val="25"/>
          <w:rFonts w:ascii="Arial" w:hAnsi="Arial" w:cs="Arial"/>
          <w:sz w:val="24"/>
          <w:szCs w:val="24"/>
        </w:rPr>
        <w:drawing>
          <wp:inline distT="0" distB="0" distL="114300" distR="114300">
            <wp:extent cx="1295400" cy="238125"/>
            <wp:effectExtent l="0" t="0" r="0" b="9525"/>
            <wp:docPr id="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5"/>
                    <pic:cNvPicPr>
                      <a:picLocks noChangeAspect="1"/>
                    </pic:cNvPicPr>
                  </pic:nvPicPr>
                  <pic:blipFill>
                    <a:blip r:embed="rId23"/>
                    <a:stretch>
                      <a:fillRect/>
                    </a:stretch>
                  </pic:blipFill>
                  <pic:spPr>
                    <a:xfrm>
                      <a:off x="0" y="0"/>
                      <a:ext cx="1295400" cy="238125"/>
                    </a:xfrm>
                    <a:prstGeom prst="rect">
                      <a:avLst/>
                    </a:prstGeom>
                    <a:noFill/>
                    <a:ln>
                      <a:noFill/>
                    </a:ln>
                  </pic:spPr>
                </pic:pic>
              </a:graphicData>
            </a:graphic>
          </wp:inline>
        </w:drawing>
      </w:r>
      <w:r>
        <w:rPr>
          <w:rStyle w:val="25"/>
          <w:rFonts w:hint="default" w:ascii="Arial" w:hAnsi="Arial" w:cs="Arial"/>
          <w:sz w:val="24"/>
          <w:szCs w:val="24"/>
          <w:lang w:val="es-CO"/>
        </w:rPr>
        <w:t>.</w:t>
      </w:r>
    </w:p>
    <w:p>
      <w:pPr>
        <w:jc w:val="both"/>
        <w:rPr>
          <w:rFonts w:hint="default"/>
          <w:lang w:val="es-CO"/>
        </w:rPr>
      </w:pPr>
    </w:p>
    <w:p>
      <w:pPr>
        <w:pStyle w:val="3"/>
        <w:numPr>
          <w:ilvl w:val="1"/>
          <w:numId w:val="1"/>
        </w:numPr>
        <w:spacing w:before="0"/>
        <w:rPr>
          <w:rFonts w:hint="default" w:cs="Arial"/>
          <w:szCs w:val="24"/>
          <w:lang w:val="es-CO"/>
        </w:rPr>
      </w:pPr>
      <w:bookmarkStart w:id="16" w:name="_Toc10044"/>
      <w:r>
        <w:rPr>
          <w:rFonts w:hint="default" w:cs="Arial"/>
          <w:szCs w:val="24"/>
          <w:lang w:val="es-CO"/>
        </w:rPr>
        <w:t>Invalidar Exoneraciones:</w:t>
      </w:r>
      <w:bookmarkEnd w:id="16"/>
      <w:r>
        <w:rPr>
          <w:rFonts w:hint="default" w:cs="Arial"/>
          <w:szCs w:val="24"/>
          <w:lang w:val="es-CO"/>
        </w:rPr>
        <w:t xml:space="preserve"> </w:t>
      </w:r>
    </w:p>
    <w:p>
      <w:pPr>
        <w:pStyle w:val="3"/>
        <w:spacing w:before="0"/>
        <w:rPr>
          <w:rFonts w:cs="Arial"/>
          <w:szCs w:val="24"/>
        </w:rPr>
      </w:pPr>
      <w:bookmarkStart w:id="17" w:name="_Toc29493"/>
      <w:r>
        <w:rPr>
          <w:rFonts w:cs="Arial"/>
          <w:szCs w:val="24"/>
        </w:rPr>
        <w:t>1.</w:t>
      </w:r>
      <w:r>
        <w:rPr>
          <w:rFonts w:hint="default" w:cs="Arial"/>
          <w:szCs w:val="24"/>
          <w:lang w:val="es-CO"/>
        </w:rPr>
        <w:t>4</w:t>
      </w:r>
      <w:r>
        <w:rPr>
          <w:rFonts w:cs="Arial"/>
          <w:szCs w:val="24"/>
        </w:rPr>
        <w:t>.1. Acceso a la opción</w:t>
      </w:r>
      <w:bookmarkEnd w:id="17"/>
      <w:r>
        <w:rPr>
          <w:rFonts w:cs="Arial"/>
          <w:szCs w:val="24"/>
        </w:rPr>
        <w:t xml:space="preserve"> </w:t>
      </w:r>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Exonerar Vehículos Oficiales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 xml:space="preserve">Invalidar Exoneraciones </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3253740" cy="942975"/>
            <wp:effectExtent l="9525" t="9525" r="13335" b="19050"/>
            <wp:docPr id="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6"/>
                    <pic:cNvPicPr>
                      <a:picLocks noChangeAspect="1"/>
                    </pic:cNvPicPr>
                  </pic:nvPicPr>
                  <pic:blipFill>
                    <a:blip r:embed="rId24"/>
                    <a:stretch>
                      <a:fillRect/>
                    </a:stretch>
                  </pic:blipFill>
                  <pic:spPr>
                    <a:xfrm>
                      <a:off x="0" y="0"/>
                      <a:ext cx="3253740" cy="94297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Acceso a la opción Invalidar Exoneraciones</w:t>
      </w:r>
    </w:p>
    <w:p>
      <w:pPr>
        <w:pStyle w:val="24"/>
        <w:ind w:left="0"/>
        <w:jc w:val="both"/>
        <w:rPr>
          <w:rFonts w:hint="default"/>
          <w:lang w:val="es-CO"/>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6473190" cy="4420235"/>
            <wp:effectExtent l="9525" t="9525" r="13335" b="27940"/>
            <wp:docPr id="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7"/>
                    <pic:cNvPicPr>
                      <a:picLocks noChangeAspect="1"/>
                    </pic:cNvPicPr>
                  </pic:nvPicPr>
                  <pic:blipFill>
                    <a:blip r:embed="rId25"/>
                    <a:stretch>
                      <a:fillRect/>
                    </a:stretch>
                  </pic:blipFill>
                  <pic:spPr>
                    <a:xfrm>
                      <a:off x="0" y="0"/>
                      <a:ext cx="6473190" cy="442023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Invalidar Exoneraciones</w:t>
      </w:r>
    </w:p>
    <w:p>
      <w:pPr>
        <w:pStyle w:val="3"/>
        <w:spacing w:before="0"/>
        <w:rPr>
          <w:rFonts w:hint="default" w:cs="Arial"/>
          <w:szCs w:val="24"/>
          <w:lang w:val="es-CO"/>
        </w:rPr>
      </w:pPr>
      <w:bookmarkStart w:id="18" w:name="_Toc2142"/>
      <w:r>
        <w:rPr>
          <w:rFonts w:cs="Arial"/>
          <w:szCs w:val="24"/>
        </w:rPr>
        <w:t>1.</w:t>
      </w:r>
      <w:r>
        <w:rPr>
          <w:rFonts w:hint="default" w:cs="Arial"/>
          <w:szCs w:val="24"/>
          <w:lang w:val="es-CO"/>
        </w:rPr>
        <w:t>4</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8"/>
    </w:p>
    <w:p>
      <w:pPr>
        <w:jc w:val="both"/>
        <w:rPr>
          <w:rStyle w:val="25"/>
          <w:rFonts w:hint="default" w:ascii="Arial" w:hAnsi="Arial" w:cs="Arial"/>
          <w:sz w:val="24"/>
          <w:szCs w:val="24"/>
          <w:lang w:val="es-CO" w:eastAsia="zh-CN"/>
        </w:rPr>
      </w:pPr>
      <w:r>
        <w:rPr>
          <w:rStyle w:val="25"/>
          <w:rFonts w:hint="default" w:ascii="Arial" w:hAnsi="Arial" w:cs="Arial"/>
          <w:sz w:val="24"/>
          <w:szCs w:val="24"/>
          <w:lang w:val="es-CO" w:eastAsia="zh-CN"/>
        </w:rPr>
        <w:t xml:space="preserve">Al ingresar a la opción, se debe digitar el número de placa y la fecha de venta del vehículo, a continuación se debe presionar la tecla enter, para mostrar los datos de la resolución de exoneración. Finalmente haga clic en el botón </w:t>
      </w:r>
      <w:r>
        <w:drawing>
          <wp:inline distT="0" distB="0" distL="114300" distR="114300">
            <wp:extent cx="1285875" cy="247650"/>
            <wp:effectExtent l="0" t="0" r="9525" b="0"/>
            <wp:docPr id="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9"/>
                    <pic:cNvPicPr>
                      <a:picLocks noChangeAspect="1"/>
                    </pic:cNvPicPr>
                  </pic:nvPicPr>
                  <pic:blipFill>
                    <a:blip r:embed="rId26"/>
                    <a:stretch>
                      <a:fillRect/>
                    </a:stretch>
                  </pic:blipFill>
                  <pic:spPr>
                    <a:xfrm>
                      <a:off x="0" y="0"/>
                      <a:ext cx="1285875" cy="247650"/>
                    </a:xfrm>
                    <a:prstGeom prst="rect">
                      <a:avLst/>
                    </a:prstGeom>
                    <a:noFill/>
                    <a:ln>
                      <a:noFill/>
                    </a:ln>
                  </pic:spPr>
                </pic:pic>
              </a:graphicData>
            </a:graphic>
          </wp:inline>
        </w:drawing>
      </w:r>
      <w:r>
        <w:rPr>
          <w:rStyle w:val="25"/>
          <w:rFonts w:hint="default" w:ascii="Arial" w:hAnsi="Arial" w:cs="Arial"/>
          <w:sz w:val="24"/>
          <w:szCs w:val="24"/>
          <w:lang w:val="es-CO" w:eastAsia="zh-CN"/>
        </w:rPr>
        <w:t>.</w:t>
      </w:r>
    </w:p>
    <w:p>
      <w:pPr>
        <w:jc w:val="both"/>
        <w:rPr>
          <w:rStyle w:val="25"/>
          <w:rFonts w:hint="default" w:ascii="Arial" w:hAnsi="Arial" w:cs="Arial"/>
          <w:sz w:val="24"/>
          <w:szCs w:val="24"/>
          <w:lang w:val="es-CO" w:eastAsia="zh-CN"/>
        </w:rPr>
      </w:pPr>
    </w:p>
    <w:p>
      <w:pPr>
        <w:jc w:val="center"/>
      </w:pPr>
      <w:r>
        <w:drawing>
          <wp:inline distT="0" distB="0" distL="114300" distR="114300">
            <wp:extent cx="5153025" cy="3800475"/>
            <wp:effectExtent l="9525" t="9525" r="19050" b="19050"/>
            <wp:docPr id="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8"/>
                    <pic:cNvPicPr>
                      <a:picLocks noChangeAspect="1"/>
                    </pic:cNvPicPr>
                  </pic:nvPicPr>
                  <pic:blipFill>
                    <a:blip r:embed="rId27"/>
                    <a:stretch>
                      <a:fillRect/>
                    </a:stretch>
                  </pic:blipFill>
                  <pic:spPr>
                    <a:xfrm>
                      <a:off x="0" y="0"/>
                      <a:ext cx="5153025" cy="380047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Consulta Invalidar Exoneraciones</w:t>
      </w:r>
    </w:p>
    <w:p>
      <w:pPr>
        <w:jc w:val="center"/>
        <w:rPr>
          <w:rFonts w:hint="default"/>
          <w:lang w:val="es-CO" w:eastAsia="zh-CN"/>
        </w:rPr>
      </w:pP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8"/>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Exoneración Vehículos Oficiales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Vehículos.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D4F0C"/>
    <w:rsid w:val="001F5BAE"/>
    <w:rsid w:val="00355D76"/>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CC647D"/>
    <w:rsid w:val="00E016ED"/>
    <w:rsid w:val="00F079BF"/>
    <w:rsid w:val="00F36AB1"/>
    <w:rsid w:val="00F41DF3"/>
    <w:rsid w:val="00F63150"/>
    <w:rsid w:val="01356B57"/>
    <w:rsid w:val="017C59AE"/>
    <w:rsid w:val="018138BC"/>
    <w:rsid w:val="01887070"/>
    <w:rsid w:val="02707865"/>
    <w:rsid w:val="02B5513A"/>
    <w:rsid w:val="02CE5FCE"/>
    <w:rsid w:val="02D03CAC"/>
    <w:rsid w:val="03016CF5"/>
    <w:rsid w:val="030A4AB2"/>
    <w:rsid w:val="03F97623"/>
    <w:rsid w:val="04373979"/>
    <w:rsid w:val="0472112A"/>
    <w:rsid w:val="04AF5FCD"/>
    <w:rsid w:val="04B538E5"/>
    <w:rsid w:val="05551D8E"/>
    <w:rsid w:val="057B5B98"/>
    <w:rsid w:val="060704D4"/>
    <w:rsid w:val="061E3FF9"/>
    <w:rsid w:val="06835468"/>
    <w:rsid w:val="07200DA3"/>
    <w:rsid w:val="080B6F30"/>
    <w:rsid w:val="08220838"/>
    <w:rsid w:val="088B3ED3"/>
    <w:rsid w:val="08ED21FE"/>
    <w:rsid w:val="09411F54"/>
    <w:rsid w:val="09652381"/>
    <w:rsid w:val="098149E6"/>
    <w:rsid w:val="09942A15"/>
    <w:rsid w:val="09CD775B"/>
    <w:rsid w:val="0ACC78D8"/>
    <w:rsid w:val="0AE2406C"/>
    <w:rsid w:val="0B172B7F"/>
    <w:rsid w:val="0CB72639"/>
    <w:rsid w:val="0CCA6F6A"/>
    <w:rsid w:val="0CF46474"/>
    <w:rsid w:val="0D194462"/>
    <w:rsid w:val="0D212A22"/>
    <w:rsid w:val="0D592C8A"/>
    <w:rsid w:val="0DC70392"/>
    <w:rsid w:val="0E1D3570"/>
    <w:rsid w:val="0E2229E0"/>
    <w:rsid w:val="0E684D1F"/>
    <w:rsid w:val="0E760C16"/>
    <w:rsid w:val="0E8D1DC8"/>
    <w:rsid w:val="0E926CFF"/>
    <w:rsid w:val="0EA87D07"/>
    <w:rsid w:val="0EE24322"/>
    <w:rsid w:val="0F3F3112"/>
    <w:rsid w:val="0F600F08"/>
    <w:rsid w:val="10654A1B"/>
    <w:rsid w:val="1096672C"/>
    <w:rsid w:val="10A04F87"/>
    <w:rsid w:val="112C76E2"/>
    <w:rsid w:val="11442AAB"/>
    <w:rsid w:val="115C08E8"/>
    <w:rsid w:val="11AD7B50"/>
    <w:rsid w:val="11D42BC7"/>
    <w:rsid w:val="11EC041F"/>
    <w:rsid w:val="1281778C"/>
    <w:rsid w:val="12985139"/>
    <w:rsid w:val="134A2D25"/>
    <w:rsid w:val="13B46E99"/>
    <w:rsid w:val="13CB3B08"/>
    <w:rsid w:val="13EA5BC1"/>
    <w:rsid w:val="14CC3949"/>
    <w:rsid w:val="14CC46EE"/>
    <w:rsid w:val="15B6473A"/>
    <w:rsid w:val="15F3725D"/>
    <w:rsid w:val="16105F12"/>
    <w:rsid w:val="168250AE"/>
    <w:rsid w:val="16952A56"/>
    <w:rsid w:val="16CE3DA9"/>
    <w:rsid w:val="16EA53BB"/>
    <w:rsid w:val="16EF0BEF"/>
    <w:rsid w:val="16FA4102"/>
    <w:rsid w:val="170133B4"/>
    <w:rsid w:val="170A4821"/>
    <w:rsid w:val="17201571"/>
    <w:rsid w:val="173F27A8"/>
    <w:rsid w:val="182A1F47"/>
    <w:rsid w:val="18342970"/>
    <w:rsid w:val="18751548"/>
    <w:rsid w:val="18906FA8"/>
    <w:rsid w:val="190519CA"/>
    <w:rsid w:val="19376E2A"/>
    <w:rsid w:val="19954419"/>
    <w:rsid w:val="19F75913"/>
    <w:rsid w:val="1A034A2F"/>
    <w:rsid w:val="1A2118FA"/>
    <w:rsid w:val="1A7437A6"/>
    <w:rsid w:val="1BC12E52"/>
    <w:rsid w:val="1C8B5031"/>
    <w:rsid w:val="1D0043B4"/>
    <w:rsid w:val="1D0917B2"/>
    <w:rsid w:val="1D3230E5"/>
    <w:rsid w:val="1D7B1F48"/>
    <w:rsid w:val="1D996D16"/>
    <w:rsid w:val="1DE66F23"/>
    <w:rsid w:val="1E27743A"/>
    <w:rsid w:val="1E4E46E3"/>
    <w:rsid w:val="1ECD16BD"/>
    <w:rsid w:val="1EF1321B"/>
    <w:rsid w:val="1F0B6F66"/>
    <w:rsid w:val="1F7A4C34"/>
    <w:rsid w:val="1F9D1DD6"/>
    <w:rsid w:val="1FA35A27"/>
    <w:rsid w:val="1FE86298"/>
    <w:rsid w:val="1FFE517B"/>
    <w:rsid w:val="20CD225F"/>
    <w:rsid w:val="20E83F30"/>
    <w:rsid w:val="213D7A0E"/>
    <w:rsid w:val="216604C7"/>
    <w:rsid w:val="21A75B00"/>
    <w:rsid w:val="21C318B7"/>
    <w:rsid w:val="222E4968"/>
    <w:rsid w:val="22B734BC"/>
    <w:rsid w:val="22C37366"/>
    <w:rsid w:val="22C60C20"/>
    <w:rsid w:val="22C65936"/>
    <w:rsid w:val="232133E8"/>
    <w:rsid w:val="23587E95"/>
    <w:rsid w:val="23714091"/>
    <w:rsid w:val="23B95B61"/>
    <w:rsid w:val="24180CB7"/>
    <w:rsid w:val="25161F23"/>
    <w:rsid w:val="2621733A"/>
    <w:rsid w:val="266E6E6D"/>
    <w:rsid w:val="26E7378B"/>
    <w:rsid w:val="273A440D"/>
    <w:rsid w:val="27786F89"/>
    <w:rsid w:val="27A9525B"/>
    <w:rsid w:val="27C36E8F"/>
    <w:rsid w:val="27D945F4"/>
    <w:rsid w:val="28026BC7"/>
    <w:rsid w:val="28301116"/>
    <w:rsid w:val="28424D44"/>
    <w:rsid w:val="28615969"/>
    <w:rsid w:val="28B478DC"/>
    <w:rsid w:val="290D1E1D"/>
    <w:rsid w:val="29105C6A"/>
    <w:rsid w:val="294340D6"/>
    <w:rsid w:val="29F23893"/>
    <w:rsid w:val="2A1E0E44"/>
    <w:rsid w:val="2AA05B77"/>
    <w:rsid w:val="2ABF4989"/>
    <w:rsid w:val="2B2C01CC"/>
    <w:rsid w:val="2B5373AE"/>
    <w:rsid w:val="2B5E15BA"/>
    <w:rsid w:val="2BBD158D"/>
    <w:rsid w:val="2BEE5852"/>
    <w:rsid w:val="2C7A4741"/>
    <w:rsid w:val="2CE43669"/>
    <w:rsid w:val="2CFE69D0"/>
    <w:rsid w:val="2D042A18"/>
    <w:rsid w:val="2D0B263A"/>
    <w:rsid w:val="2D130CEB"/>
    <w:rsid w:val="2D3C2E26"/>
    <w:rsid w:val="2D656495"/>
    <w:rsid w:val="2D6B724D"/>
    <w:rsid w:val="2D9C323F"/>
    <w:rsid w:val="2E092C39"/>
    <w:rsid w:val="2E506B8C"/>
    <w:rsid w:val="2E5A3BF5"/>
    <w:rsid w:val="2EB95E0A"/>
    <w:rsid w:val="2EFD77B8"/>
    <w:rsid w:val="2F590445"/>
    <w:rsid w:val="2F7F7739"/>
    <w:rsid w:val="2FB037C0"/>
    <w:rsid w:val="31723045"/>
    <w:rsid w:val="321B798C"/>
    <w:rsid w:val="321D426A"/>
    <w:rsid w:val="32556245"/>
    <w:rsid w:val="338D1A6E"/>
    <w:rsid w:val="33BC3F44"/>
    <w:rsid w:val="341D3DEE"/>
    <w:rsid w:val="34621172"/>
    <w:rsid w:val="34BD70C4"/>
    <w:rsid w:val="34ED2079"/>
    <w:rsid w:val="35EF6C2B"/>
    <w:rsid w:val="36635ED0"/>
    <w:rsid w:val="367D38B3"/>
    <w:rsid w:val="36B73257"/>
    <w:rsid w:val="37CA000C"/>
    <w:rsid w:val="37E45D03"/>
    <w:rsid w:val="3811573D"/>
    <w:rsid w:val="3836380C"/>
    <w:rsid w:val="38764D55"/>
    <w:rsid w:val="38A43162"/>
    <w:rsid w:val="38E84639"/>
    <w:rsid w:val="399259BE"/>
    <w:rsid w:val="39C66B42"/>
    <w:rsid w:val="3A165C61"/>
    <w:rsid w:val="3AA27453"/>
    <w:rsid w:val="3B2850DF"/>
    <w:rsid w:val="3B74690F"/>
    <w:rsid w:val="3B7F452B"/>
    <w:rsid w:val="3B8056E5"/>
    <w:rsid w:val="3B9C0360"/>
    <w:rsid w:val="3D7D544C"/>
    <w:rsid w:val="3E273F4C"/>
    <w:rsid w:val="3E4C39A1"/>
    <w:rsid w:val="3EB21ABC"/>
    <w:rsid w:val="3F273A94"/>
    <w:rsid w:val="3FBA76F7"/>
    <w:rsid w:val="3FE67919"/>
    <w:rsid w:val="3FF76A24"/>
    <w:rsid w:val="400624D5"/>
    <w:rsid w:val="40082E55"/>
    <w:rsid w:val="40934FF1"/>
    <w:rsid w:val="4118630C"/>
    <w:rsid w:val="411D789C"/>
    <w:rsid w:val="412C6E1E"/>
    <w:rsid w:val="415E7175"/>
    <w:rsid w:val="42153F72"/>
    <w:rsid w:val="427B6968"/>
    <w:rsid w:val="43F21769"/>
    <w:rsid w:val="4431143D"/>
    <w:rsid w:val="447B3CF6"/>
    <w:rsid w:val="44BB41C2"/>
    <w:rsid w:val="453C3A2F"/>
    <w:rsid w:val="45B73827"/>
    <w:rsid w:val="45D75786"/>
    <w:rsid w:val="46A85E13"/>
    <w:rsid w:val="47921365"/>
    <w:rsid w:val="47FE42A7"/>
    <w:rsid w:val="48471121"/>
    <w:rsid w:val="48847CC1"/>
    <w:rsid w:val="488D6562"/>
    <w:rsid w:val="4A6950BE"/>
    <w:rsid w:val="4ABB01BC"/>
    <w:rsid w:val="4AEA5CA5"/>
    <w:rsid w:val="4AEC1E08"/>
    <w:rsid w:val="4B2B2279"/>
    <w:rsid w:val="4B5A3030"/>
    <w:rsid w:val="4B88378A"/>
    <w:rsid w:val="4BE07B96"/>
    <w:rsid w:val="4BE52A5F"/>
    <w:rsid w:val="4C0D2CA8"/>
    <w:rsid w:val="4C3C2620"/>
    <w:rsid w:val="4C671FA3"/>
    <w:rsid w:val="4D7F1953"/>
    <w:rsid w:val="4EAE2AB1"/>
    <w:rsid w:val="4EC165E1"/>
    <w:rsid w:val="4F295365"/>
    <w:rsid w:val="4F3F5D19"/>
    <w:rsid w:val="4F716E29"/>
    <w:rsid w:val="4F9E12BA"/>
    <w:rsid w:val="508E3F2A"/>
    <w:rsid w:val="5097119E"/>
    <w:rsid w:val="51293854"/>
    <w:rsid w:val="51412545"/>
    <w:rsid w:val="519C184E"/>
    <w:rsid w:val="51A2005D"/>
    <w:rsid w:val="51E15BFC"/>
    <w:rsid w:val="52BA4C86"/>
    <w:rsid w:val="52FE4D9A"/>
    <w:rsid w:val="540B3888"/>
    <w:rsid w:val="54D42D7E"/>
    <w:rsid w:val="552B3E4D"/>
    <w:rsid w:val="55375048"/>
    <w:rsid w:val="557A5983"/>
    <w:rsid w:val="55AF1E7E"/>
    <w:rsid w:val="55B93306"/>
    <w:rsid w:val="57BE62A5"/>
    <w:rsid w:val="57F86D1F"/>
    <w:rsid w:val="57FF212E"/>
    <w:rsid w:val="58B85C84"/>
    <w:rsid w:val="59821673"/>
    <w:rsid w:val="59910DEA"/>
    <w:rsid w:val="59F8344D"/>
    <w:rsid w:val="5A43553E"/>
    <w:rsid w:val="5A65093E"/>
    <w:rsid w:val="5A6D2580"/>
    <w:rsid w:val="5A757597"/>
    <w:rsid w:val="5AA414F6"/>
    <w:rsid w:val="5AE135D0"/>
    <w:rsid w:val="5B8167E8"/>
    <w:rsid w:val="5BB343AD"/>
    <w:rsid w:val="5BE11F49"/>
    <w:rsid w:val="5BE410F1"/>
    <w:rsid w:val="5C4936FC"/>
    <w:rsid w:val="5C6314DB"/>
    <w:rsid w:val="5C760AAF"/>
    <w:rsid w:val="5E427AE8"/>
    <w:rsid w:val="5FAE2043"/>
    <w:rsid w:val="5FE4222A"/>
    <w:rsid w:val="6082518F"/>
    <w:rsid w:val="611856C0"/>
    <w:rsid w:val="61635AF6"/>
    <w:rsid w:val="617E5FD1"/>
    <w:rsid w:val="61B06DCA"/>
    <w:rsid w:val="61F908EC"/>
    <w:rsid w:val="625A174A"/>
    <w:rsid w:val="628D2613"/>
    <w:rsid w:val="63254BA7"/>
    <w:rsid w:val="63450A73"/>
    <w:rsid w:val="63DD38FD"/>
    <w:rsid w:val="63F25D2D"/>
    <w:rsid w:val="641A2277"/>
    <w:rsid w:val="646049F7"/>
    <w:rsid w:val="64612DFA"/>
    <w:rsid w:val="64704E5F"/>
    <w:rsid w:val="649C79ED"/>
    <w:rsid w:val="64E20F04"/>
    <w:rsid w:val="65190796"/>
    <w:rsid w:val="65524FB8"/>
    <w:rsid w:val="65A448D1"/>
    <w:rsid w:val="66103F76"/>
    <w:rsid w:val="6648290F"/>
    <w:rsid w:val="668B1C71"/>
    <w:rsid w:val="66992F59"/>
    <w:rsid w:val="670D6B70"/>
    <w:rsid w:val="67497513"/>
    <w:rsid w:val="679E6031"/>
    <w:rsid w:val="67A212BF"/>
    <w:rsid w:val="67AE5C90"/>
    <w:rsid w:val="67D6059D"/>
    <w:rsid w:val="684F2507"/>
    <w:rsid w:val="69BB10D7"/>
    <w:rsid w:val="6A1D468D"/>
    <w:rsid w:val="6A4F4594"/>
    <w:rsid w:val="6A710615"/>
    <w:rsid w:val="6AAD4B15"/>
    <w:rsid w:val="6B4B054E"/>
    <w:rsid w:val="6B9E476E"/>
    <w:rsid w:val="6BD65F02"/>
    <w:rsid w:val="6C1A7423"/>
    <w:rsid w:val="6D1940FB"/>
    <w:rsid w:val="6D3F37BE"/>
    <w:rsid w:val="6D4C135B"/>
    <w:rsid w:val="6DA1087E"/>
    <w:rsid w:val="6E257D7A"/>
    <w:rsid w:val="6E4F2832"/>
    <w:rsid w:val="6E982F95"/>
    <w:rsid w:val="6EF0240B"/>
    <w:rsid w:val="6F305408"/>
    <w:rsid w:val="6F753F20"/>
    <w:rsid w:val="6FFE77AF"/>
    <w:rsid w:val="70390741"/>
    <w:rsid w:val="707D36E5"/>
    <w:rsid w:val="70A464B7"/>
    <w:rsid w:val="70CA5D47"/>
    <w:rsid w:val="70D83839"/>
    <w:rsid w:val="71780474"/>
    <w:rsid w:val="71F975CC"/>
    <w:rsid w:val="72021E5C"/>
    <w:rsid w:val="727C6C4A"/>
    <w:rsid w:val="73BF4B35"/>
    <w:rsid w:val="751229C7"/>
    <w:rsid w:val="7609632E"/>
    <w:rsid w:val="762D65B7"/>
    <w:rsid w:val="76754FA2"/>
    <w:rsid w:val="76CC564E"/>
    <w:rsid w:val="77054BAD"/>
    <w:rsid w:val="778F47BB"/>
    <w:rsid w:val="77B56964"/>
    <w:rsid w:val="77FE17B6"/>
    <w:rsid w:val="782C0FF4"/>
    <w:rsid w:val="78502A8F"/>
    <w:rsid w:val="78862344"/>
    <w:rsid w:val="78D43FE0"/>
    <w:rsid w:val="78E02CD0"/>
    <w:rsid w:val="791945D3"/>
    <w:rsid w:val="79613E23"/>
    <w:rsid w:val="79E43EC1"/>
    <w:rsid w:val="7A6B12A6"/>
    <w:rsid w:val="7AB12AD4"/>
    <w:rsid w:val="7AC520C2"/>
    <w:rsid w:val="7AE41DFF"/>
    <w:rsid w:val="7AF91320"/>
    <w:rsid w:val="7B1F52AB"/>
    <w:rsid w:val="7B504B4E"/>
    <w:rsid w:val="7BBC462E"/>
    <w:rsid w:val="7C51605C"/>
    <w:rsid w:val="7D2F1950"/>
    <w:rsid w:val="7E0250FE"/>
    <w:rsid w:val="7E1C2967"/>
    <w:rsid w:val="7E5D1445"/>
    <w:rsid w:val="7F7E74FD"/>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5"/>
    <w:unhideWhenUsed/>
    <w:qFormat/>
    <w:uiPriority w:val="99"/>
    <w:pPr>
      <w:tabs>
        <w:tab w:val="center" w:pos="4419"/>
        <w:tab w:val="right" w:pos="8838"/>
      </w:tabs>
      <w:spacing w:after="0" w:line="240" w:lineRule="auto"/>
    </w:pPr>
  </w:style>
  <w:style w:type="paragraph" w:styleId="9">
    <w:name w:val="header"/>
    <w:basedOn w:val="1"/>
    <w:link w:val="14"/>
    <w:unhideWhenUsed/>
    <w:qFormat/>
    <w:uiPriority w:val="99"/>
    <w:pPr>
      <w:tabs>
        <w:tab w:val="center" w:pos="4419"/>
        <w:tab w:val="right" w:pos="8838"/>
      </w:tabs>
      <w:spacing w:after="0" w:line="240" w:lineRule="auto"/>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2">
    <w:name w:val="toc 1"/>
    <w:basedOn w:val="1"/>
    <w:next w:val="1"/>
    <w:unhideWhenUsed/>
    <w:qFormat/>
    <w:uiPriority w:val="39"/>
  </w:style>
  <w:style w:type="paragraph" w:styleId="13">
    <w:name w:val="toc 2"/>
    <w:basedOn w:val="1"/>
    <w:next w:val="1"/>
    <w:semiHidden/>
    <w:unhideWhenUsed/>
    <w:qFormat/>
    <w:uiPriority w:val="39"/>
    <w:pPr>
      <w:ind w:left="420" w:leftChars="200"/>
    </w:pPr>
  </w:style>
  <w:style w:type="character" w:customStyle="1" w:styleId="14">
    <w:name w:val="Encabezado Car"/>
    <w:basedOn w:val="5"/>
    <w:link w:val="9"/>
    <w:qFormat/>
    <w:uiPriority w:val="99"/>
  </w:style>
  <w:style w:type="character" w:customStyle="1" w:styleId="15">
    <w:name w:val="Pie de página Car"/>
    <w:basedOn w:val="5"/>
    <w:link w:val="8"/>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1"/>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2021-10-13T21:06:51Z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