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10" w:name="_GoBack"/>
      <w:bookmarkEnd w:id="10"/>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Notas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ascii="SimSun" w:hAnsi="SimSun" w:eastAsia="SimSun" w:cstheme="minorBidi"/>
          <w:sz w:val="21"/>
          <w:szCs w:val="22"/>
          <w:lang w:val="es-CO" w:eastAsia="en-US" w:bidi="ar-SA"/>
        </w:rPr>
        <w:id w:val="147479199"/>
        <w15:color w:val="DBDBDB"/>
        <w:docPartObj>
          <w:docPartGallery w:val="Table of Contents"/>
          <w:docPartUnique/>
        </w:docPartObj>
      </w:sdtPr>
      <w:sdtEndPr>
        <w:rPr>
          <w:rFonts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pPr>
        </w:p>
        <w:p>
          <w:pPr>
            <w:pStyle w:val="8"/>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_Toc28076 </w:instrText>
          </w:r>
          <w:r>
            <w:rPr>
              <w:rFonts w:hint="default" w:ascii="Arial" w:hAnsi="Arial" w:cs="Arial"/>
              <w:sz w:val="24"/>
              <w:szCs w:val="24"/>
            </w:rPr>
            <w:fldChar w:fldCharType="separate"/>
          </w:r>
          <w:r>
            <w:rPr>
              <w:rFonts w:hint="default" w:ascii="Arial" w:hAnsi="Arial" w:cs="Arial"/>
              <w:sz w:val="24"/>
              <w:szCs w:val="24"/>
              <w:lang w:val="es-CO" w:eastAsia="zh-CN"/>
            </w:rPr>
            <w:t>1. NOTAS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_Toc28076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_Toc8061 </w:instrText>
          </w:r>
          <w:r>
            <w:rPr>
              <w:rFonts w:hint="default" w:ascii="Arial" w:hAnsi="Arial" w:cs="Arial"/>
              <w:sz w:val="24"/>
              <w:szCs w:val="24"/>
            </w:rPr>
            <w:fldChar w:fldCharType="separate"/>
          </w:r>
          <w:r>
            <w:rPr>
              <w:rFonts w:hint="default" w:ascii="Arial" w:hAnsi="Arial" w:cs="Arial"/>
              <w:sz w:val="24"/>
              <w:szCs w:val="24"/>
              <w:lang w:val="es-CO"/>
            </w:rPr>
            <w:t>1.1. Aplicación de Notas General: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_Toc8061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_Toc28462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1</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_Toc28462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_Toc6743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1</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_Toc6743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_Toc11545 </w:instrText>
          </w:r>
          <w:r>
            <w:rPr>
              <w:rFonts w:hint="default" w:ascii="Arial" w:hAnsi="Arial" w:cs="Arial"/>
              <w:sz w:val="24"/>
              <w:szCs w:val="24"/>
            </w:rPr>
            <w:fldChar w:fldCharType="separate"/>
          </w:r>
          <w:r>
            <w:rPr>
              <w:rFonts w:hint="default" w:ascii="Arial" w:hAnsi="Arial" w:cs="Arial"/>
              <w:sz w:val="24"/>
              <w:szCs w:val="24"/>
              <w:lang w:val="es-CO"/>
            </w:rPr>
            <w:t>1.2. Elaboración de Notas: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_Toc11545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_Toc20305 </w:instrText>
          </w:r>
          <w:r>
            <w:rPr>
              <w:rFonts w:hint="default" w:ascii="Arial" w:hAnsi="Arial" w:cs="Arial"/>
              <w:sz w:val="24"/>
              <w:szCs w:val="24"/>
            </w:rPr>
            <w:fldChar w:fldCharType="separate"/>
          </w:r>
          <w:r>
            <w:rPr>
              <w:rFonts w:hint="default" w:ascii="Arial" w:hAnsi="Arial" w:cs="Arial"/>
              <w:sz w:val="24"/>
              <w:szCs w:val="24"/>
              <w:lang w:val="es-CO"/>
            </w:rPr>
            <w:t>1.2.1.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_Toc20305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_Toc21413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_Toc21413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28076"/>
      <w:r>
        <w:rPr>
          <w:rFonts w:hint="default"/>
          <w:lang w:val="es-CO" w:eastAsia="zh-CN"/>
        </w:rPr>
        <w:t>NOTAS</w:t>
      </w:r>
      <w:bookmarkEnd w:id="0"/>
    </w:p>
    <w:p>
      <w:pPr>
        <w:spacing w:after="0" w:line="360" w:lineRule="auto"/>
        <w:jc w:val="both"/>
        <w:rPr>
          <w:rFonts w:hint="default" w:ascii="Arial" w:hAnsi="Arial" w:cs="Arial"/>
          <w:sz w:val="24"/>
          <w:szCs w:val="24"/>
          <w:lang w:val="es-CO"/>
        </w:rPr>
      </w:pPr>
      <w:r>
        <w:rPr>
          <w:rFonts w:ascii="Arial" w:hAnsi="Arial" w:cs="Arial"/>
          <w:sz w:val="24"/>
          <w:szCs w:val="24"/>
        </w:rPr>
        <w:t xml:space="preserve">A través de la siguiente funcionalidad, podrá gestionar </w:t>
      </w:r>
      <w:r>
        <w:rPr>
          <w:rFonts w:hint="default" w:ascii="Arial" w:hAnsi="Arial" w:cs="Arial"/>
          <w:sz w:val="24"/>
          <w:szCs w:val="24"/>
          <w:lang w:val="es-CO"/>
        </w:rPr>
        <w:t>y realizar notas de ajuste.</w:t>
      </w:r>
    </w:p>
    <w:p>
      <w:pPr>
        <w:jc w:val="both"/>
        <w:rPr>
          <w:rFonts w:hint="default" w:ascii="Arial" w:hAnsi="Arial" w:cs="Arial"/>
          <w:sz w:val="24"/>
          <w:szCs w:val="24"/>
          <w:lang w:val="es-CO"/>
        </w:rPr>
      </w:pPr>
    </w:p>
    <w:p>
      <w:pPr>
        <w:pStyle w:val="3"/>
        <w:numPr>
          <w:ilvl w:val="1"/>
          <w:numId w:val="1"/>
        </w:numPr>
        <w:spacing w:before="0"/>
      </w:pPr>
      <w:bookmarkStart w:id="1" w:name="_Toc31318"/>
      <w:bookmarkStart w:id="2" w:name="_Toc8061"/>
      <w:r>
        <w:rPr>
          <w:rFonts w:hint="default" w:cs="Arial"/>
          <w:szCs w:val="24"/>
          <w:lang w:val="es-CO"/>
        </w:rPr>
        <w:t>Aplicación de Notas General:</w:t>
      </w:r>
      <w:bookmarkEnd w:id="1"/>
      <w:bookmarkEnd w:id="2"/>
      <w:r>
        <w:rPr>
          <w:rFonts w:hint="default" w:cs="Arial"/>
          <w:szCs w:val="24"/>
          <w:lang w:val="es-CO"/>
        </w:rPr>
        <w:t xml:space="preserve"> </w:t>
      </w:r>
    </w:p>
    <w:p>
      <w:pPr>
        <w:pStyle w:val="3"/>
        <w:spacing w:before="0"/>
        <w:rPr>
          <w:rFonts w:hint="default"/>
          <w:lang w:val="es-CO"/>
        </w:rPr>
      </w:pPr>
      <w:bookmarkStart w:id="3" w:name="_Toc27917"/>
      <w:bookmarkStart w:id="4" w:name="_Toc28462"/>
      <w:r>
        <w:rPr>
          <w:rFonts w:cs="Arial"/>
          <w:szCs w:val="24"/>
        </w:rPr>
        <w:t>1.</w:t>
      </w:r>
      <w:r>
        <w:rPr>
          <w:rFonts w:hint="default" w:cs="Arial"/>
          <w:szCs w:val="24"/>
          <w:lang w:val="es-CO"/>
        </w:rPr>
        <w:t>1</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3"/>
      <w:bookmarkEnd w:id="4"/>
      <w:r>
        <w:rPr>
          <w:rFonts w:hint="default" w:cs="Arial"/>
          <w:szCs w:val="24"/>
          <w:lang w:val="es-CO"/>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Notas </w:t>
      </w:r>
      <w:r>
        <w:rPr>
          <w:rStyle w:val="25"/>
          <w:rFonts w:hint="default" w:ascii="Arial" w:hAnsi="Arial" w:cs="Arial"/>
          <w:sz w:val="24"/>
          <w:szCs w:val="24"/>
          <w:lang w:val="es-CO"/>
        </w:rPr>
        <w:t xml:space="preserve">y por último en </w:t>
      </w:r>
      <w:r>
        <w:rPr>
          <w:rStyle w:val="25"/>
          <w:rFonts w:hint="default" w:ascii="Arial" w:hAnsi="Arial" w:cs="Arial"/>
          <w:color w:val="0047AC"/>
          <w:sz w:val="24"/>
          <w:szCs w:val="24"/>
          <w:lang w:val="es-CO"/>
        </w:rPr>
        <w:t>Aplicación de Notas General</w:t>
      </w:r>
    </w:p>
    <w:p>
      <w:pPr>
        <w:jc w:val="both"/>
        <w:rPr>
          <w:rFonts w:hint="default" w:ascii="Arial" w:hAnsi="Arial" w:cs="Arial"/>
          <w:sz w:val="24"/>
          <w:szCs w:val="24"/>
          <w:lang w:val="es-CO" w:eastAsia="zh-CN"/>
        </w:rPr>
      </w:pPr>
    </w:p>
    <w:p>
      <w:pPr>
        <w:jc w:val="center"/>
      </w:pPr>
      <w:r>
        <w:drawing>
          <wp:inline distT="0" distB="0" distL="114300" distR="114300">
            <wp:extent cx="2922270" cy="771525"/>
            <wp:effectExtent l="9525" t="9525" r="20955" b="19050"/>
            <wp:docPr id="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
                    <pic:cNvPicPr>
                      <a:picLocks noChangeAspect="1"/>
                    </pic:cNvPicPr>
                  </pic:nvPicPr>
                  <pic:blipFill>
                    <a:blip r:embed="rId9"/>
                    <a:stretch>
                      <a:fillRect/>
                    </a:stretch>
                  </pic:blipFill>
                  <pic:spPr>
                    <a:xfrm>
                      <a:off x="0" y="0"/>
                      <a:ext cx="2922270" cy="7715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 Acceso a la opción Procesos Operativos</w:t>
      </w:r>
    </w:p>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both"/>
        <w:rPr>
          <w:rStyle w:val="25"/>
          <w:rFonts w:hint="default" w:ascii="Arial" w:hAnsi="Arial" w:cs="Arial"/>
          <w:sz w:val="24"/>
          <w:szCs w:val="24"/>
          <w:lang w:val="es-CO"/>
        </w:rPr>
      </w:pPr>
      <w:r>
        <w:drawing>
          <wp:inline distT="0" distB="0" distL="114300" distR="114300">
            <wp:extent cx="7039610" cy="4156075"/>
            <wp:effectExtent l="9525" t="9525" r="18415" b="2540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0"/>
                    <a:stretch>
                      <a:fillRect/>
                    </a:stretch>
                  </pic:blipFill>
                  <pic:spPr>
                    <a:xfrm>
                      <a:off x="0" y="0"/>
                      <a:ext cx="7039610" cy="415607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 Procesos Operativos</w:t>
      </w:r>
    </w:p>
    <w:p>
      <w:pPr>
        <w:pStyle w:val="3"/>
        <w:spacing w:before="0"/>
        <w:rPr>
          <w:rFonts w:hint="default" w:cs="Arial"/>
          <w:szCs w:val="24"/>
          <w:lang w:val="es-CO"/>
        </w:rPr>
      </w:pPr>
      <w:bookmarkStart w:id="5" w:name="_Toc6743"/>
      <w:bookmarkStart w:id="6" w:name="_Toc23556"/>
      <w:r>
        <w:rPr>
          <w:rFonts w:cs="Arial"/>
          <w:szCs w:val="24"/>
        </w:rPr>
        <w:t>1.</w:t>
      </w:r>
      <w:r>
        <w:rPr>
          <w:rFonts w:hint="default" w:cs="Arial"/>
          <w:szCs w:val="24"/>
          <w:lang w:val="es-CO"/>
        </w:rPr>
        <w:t>1</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5"/>
      <w:bookmarkEnd w:id="6"/>
    </w:p>
    <w:p>
      <w:pPr>
        <w:jc w:val="both"/>
        <w:rPr>
          <w:rFonts w:hint="default" w:ascii="Arial" w:hAnsi="Arial" w:cs="Arial"/>
          <w:sz w:val="24"/>
          <w:szCs w:val="28"/>
          <w:lang w:val="es-CO"/>
        </w:rPr>
      </w:pPr>
      <w:r>
        <w:rPr>
          <w:rFonts w:hint="default" w:ascii="Arial" w:hAnsi="Arial" w:cs="Arial"/>
          <w:sz w:val="24"/>
          <w:szCs w:val="28"/>
          <w:lang w:val="es-CO"/>
        </w:rPr>
        <w:t xml:space="preserve">Al ingresar a la forma se cargarán y listarán todas las notas de ajuste realizadas y aprobadas en el sistema y que faltan por aplicar en la sección Notas de ajuste y el detallado de las notas en la sección Detalle Notas de Ajuste, por lo cual para aplicar las notas de ajuste se debe: </w:t>
      </w:r>
    </w:p>
    <w:p>
      <w:pPr>
        <w:jc w:val="both"/>
        <w:rPr>
          <w:rFonts w:hint="default" w:ascii="Arial" w:hAnsi="Arial" w:cs="Arial"/>
          <w:sz w:val="24"/>
          <w:szCs w:val="28"/>
          <w:lang w:val="es-CO"/>
        </w:rPr>
      </w:pPr>
      <w:r>
        <w:rPr>
          <w:rFonts w:hint="default" w:ascii="Arial" w:hAnsi="Arial" w:cs="Arial"/>
          <w:sz w:val="24"/>
          <w:szCs w:val="28"/>
          <w:lang w:val="es-CO"/>
        </w:rPr>
        <w:t xml:space="preserve">Seleccionar lo o las notas de ajuste a aplicar marcando la casilla Aplica: </w:t>
      </w:r>
    </w:p>
    <w:p>
      <w:pPr>
        <w:jc w:val="both"/>
        <w:rPr>
          <w:rFonts w:hint="default" w:ascii="Arial" w:hAnsi="Arial" w:cs="Arial"/>
          <w:sz w:val="24"/>
          <w:szCs w:val="28"/>
          <w:lang w:val="es-CO"/>
        </w:rPr>
      </w:pPr>
    </w:p>
    <w:p>
      <w:pPr>
        <w:jc w:val="both"/>
        <w:rPr>
          <w:rFonts w:hint="default" w:ascii="Arial" w:hAnsi="Arial" w:cs="Arial"/>
          <w:sz w:val="24"/>
          <w:szCs w:val="28"/>
          <w:lang w:val="es-CO"/>
        </w:rPr>
      </w:pPr>
      <w:r>
        <w:drawing>
          <wp:inline distT="0" distB="0" distL="114300" distR="114300">
            <wp:extent cx="6851650" cy="866775"/>
            <wp:effectExtent l="9525" t="9525" r="15875" b="1905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11"/>
                    <a:stretch>
                      <a:fillRect/>
                    </a:stretch>
                  </pic:blipFill>
                  <pic:spPr>
                    <a:xfrm>
                      <a:off x="0" y="0"/>
                      <a:ext cx="6851650" cy="86677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Marcar Notas de Ajuste</w:t>
      </w:r>
    </w:p>
    <w:p>
      <w:pPr>
        <w:rPr>
          <w:rFonts w:hint="default"/>
          <w:lang w:val="es-CO"/>
        </w:rPr>
      </w:pPr>
    </w:p>
    <w:p>
      <w:pPr>
        <w:jc w:val="both"/>
        <w:rPr>
          <w:rFonts w:hint="default"/>
          <w:lang w:val="es-CO"/>
        </w:rPr>
      </w:pPr>
      <w:r>
        <w:rPr>
          <w:rFonts w:hint="default" w:ascii="Arial" w:hAnsi="Arial" w:cs="Arial"/>
          <w:sz w:val="24"/>
          <w:szCs w:val="28"/>
          <w:lang w:val="es-CO"/>
        </w:rPr>
        <w:t xml:space="preserve">Después de esto y por último se debe dar clic en el botón </w:t>
      </w:r>
      <w:r>
        <w:drawing>
          <wp:inline distT="0" distB="0" distL="114300" distR="114300">
            <wp:extent cx="1276350" cy="200025"/>
            <wp:effectExtent l="0" t="0" r="0" b="9525"/>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pic:cNvPicPr>
                      <a:picLocks noChangeAspect="1"/>
                    </pic:cNvPicPr>
                  </pic:nvPicPr>
                  <pic:blipFill>
                    <a:blip r:embed="rId12"/>
                    <a:stretch>
                      <a:fillRect/>
                    </a:stretch>
                  </pic:blipFill>
                  <pic:spPr>
                    <a:xfrm>
                      <a:off x="0" y="0"/>
                      <a:ext cx="1276350" cy="200025"/>
                    </a:xfrm>
                    <a:prstGeom prst="rect">
                      <a:avLst/>
                    </a:prstGeom>
                    <a:noFill/>
                    <a:ln>
                      <a:noFill/>
                    </a:ln>
                  </pic:spPr>
                </pic:pic>
              </a:graphicData>
            </a:graphic>
          </wp:inline>
        </w:drawing>
      </w:r>
      <w:r>
        <w:rPr>
          <w:rFonts w:hint="default"/>
          <w:lang w:val="es-CO"/>
        </w:rPr>
        <w:t>.</w:t>
      </w:r>
    </w:p>
    <w:p>
      <w:pPr>
        <w:jc w:val="both"/>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Luego de esto se visualizará un mensaje confirmando la realización del proceso de aplicación</w:t>
      </w:r>
    </w:p>
    <w:p>
      <w:pPr>
        <w:jc w:val="both"/>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3834765" cy="1191895"/>
            <wp:effectExtent l="9525" t="9525" r="22860" b="17780"/>
            <wp:docPr id="6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10"/>
                    <pic:cNvPicPr>
                      <a:picLocks noChangeAspect="1"/>
                    </pic:cNvPicPr>
                  </pic:nvPicPr>
                  <pic:blipFill>
                    <a:blip r:embed="rId13"/>
                    <a:stretch>
                      <a:fillRect/>
                    </a:stretch>
                  </pic:blipFill>
                  <pic:spPr>
                    <a:xfrm>
                      <a:off x="0" y="0"/>
                      <a:ext cx="3834765" cy="119189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Mensaje</w:t>
      </w:r>
    </w:p>
    <w:p>
      <w:pPr>
        <w:jc w:val="both"/>
        <w:rPr>
          <w:rFonts w:hint="default" w:ascii="Arial" w:hAnsi="Arial" w:cs="Arial"/>
          <w:sz w:val="24"/>
          <w:szCs w:val="24"/>
          <w:lang w:val="es-CO"/>
        </w:rPr>
      </w:pPr>
    </w:p>
    <w:p>
      <w:pPr>
        <w:pStyle w:val="3"/>
        <w:numPr>
          <w:ilvl w:val="1"/>
          <w:numId w:val="1"/>
        </w:numPr>
        <w:spacing w:before="0"/>
      </w:pPr>
      <w:bookmarkStart w:id="7" w:name="_Toc11545"/>
      <w:r>
        <w:rPr>
          <w:rFonts w:hint="default" w:cs="Arial"/>
          <w:szCs w:val="24"/>
          <w:lang w:val="es-CO"/>
        </w:rPr>
        <w:t>Elaboración de Notas:</w:t>
      </w:r>
      <w:bookmarkEnd w:id="7"/>
      <w:r>
        <w:rPr>
          <w:rFonts w:hint="default" w:cs="Arial"/>
          <w:szCs w:val="24"/>
          <w:lang w:val="es-CO"/>
        </w:rPr>
        <w:t xml:space="preserve"> </w:t>
      </w:r>
    </w:p>
    <w:p>
      <w:pPr>
        <w:pStyle w:val="3"/>
        <w:numPr>
          <w:ilvl w:val="2"/>
          <w:numId w:val="1"/>
        </w:numPr>
        <w:spacing w:before="0"/>
        <w:ind w:left="0" w:leftChars="0" w:firstLine="0" w:firstLineChars="0"/>
        <w:rPr>
          <w:rFonts w:hint="default"/>
          <w:lang w:val="es-CO"/>
        </w:rPr>
      </w:pPr>
      <w:bookmarkStart w:id="8" w:name="_Toc20305"/>
      <w:r>
        <w:rPr>
          <w:rFonts w:hint="default" w:cs="Arial"/>
          <w:szCs w:val="24"/>
          <w:lang w:val="es-CO"/>
        </w:rPr>
        <w:t>Acceso a la opción</w:t>
      </w:r>
      <w:bookmarkEnd w:id="8"/>
      <w:r>
        <w:rPr>
          <w:rFonts w:hint="default" w:cs="Arial"/>
          <w:szCs w:val="24"/>
          <w:lang w:val="es-CO"/>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Notas </w:t>
      </w:r>
      <w:r>
        <w:rPr>
          <w:rStyle w:val="25"/>
          <w:rFonts w:hint="default" w:ascii="Arial" w:hAnsi="Arial" w:cs="Arial"/>
          <w:sz w:val="24"/>
          <w:szCs w:val="24"/>
          <w:lang w:val="es-CO"/>
        </w:rPr>
        <w:t xml:space="preserve">y por último en </w:t>
      </w:r>
      <w:r>
        <w:rPr>
          <w:rStyle w:val="25"/>
          <w:rFonts w:hint="default" w:ascii="Arial" w:hAnsi="Arial" w:cs="Arial"/>
          <w:color w:val="0047AC"/>
          <w:sz w:val="24"/>
          <w:szCs w:val="24"/>
          <w:lang w:val="es-CO"/>
        </w:rPr>
        <w:t>Elaboración de Notas</w:t>
      </w:r>
    </w:p>
    <w:p>
      <w:pPr>
        <w:jc w:val="both"/>
        <w:rPr>
          <w:rFonts w:hint="default" w:ascii="Arial" w:hAnsi="Arial" w:cs="Arial"/>
          <w:sz w:val="24"/>
          <w:szCs w:val="24"/>
          <w:lang w:val="es-CO" w:eastAsia="zh-CN"/>
        </w:rPr>
      </w:pPr>
    </w:p>
    <w:p>
      <w:pPr>
        <w:jc w:val="center"/>
      </w:pPr>
      <w:r>
        <w:drawing>
          <wp:inline distT="0" distB="0" distL="114300" distR="114300">
            <wp:extent cx="2479040" cy="732155"/>
            <wp:effectExtent l="9525" t="9525" r="26035" b="2032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pic:cNvPicPr>
                      <a:picLocks noChangeAspect="1"/>
                    </pic:cNvPicPr>
                  </pic:nvPicPr>
                  <pic:blipFill>
                    <a:blip r:embed="rId14"/>
                    <a:stretch>
                      <a:fillRect/>
                    </a:stretch>
                  </pic:blipFill>
                  <pic:spPr>
                    <a:xfrm>
                      <a:off x="0" y="0"/>
                      <a:ext cx="2479040" cy="73215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Acceso a la opción Elaboración de Notas</w:t>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Fonts w:hint="default"/>
          <w:lang w:val="es-CO" w:eastAsia="zh-CN"/>
        </w:rPr>
      </w:pPr>
    </w:p>
    <w:p>
      <w:pPr>
        <w:jc w:val="center"/>
      </w:pPr>
      <w:r>
        <w:drawing>
          <wp:inline distT="0" distB="0" distL="114300" distR="114300">
            <wp:extent cx="6943725" cy="4404360"/>
            <wp:effectExtent l="9525" t="9525" r="19050" b="24765"/>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pic:cNvPicPr>
                  </pic:nvPicPr>
                  <pic:blipFill>
                    <a:blip r:embed="rId15"/>
                    <a:stretch>
                      <a:fillRect/>
                    </a:stretch>
                  </pic:blipFill>
                  <pic:spPr>
                    <a:xfrm>
                      <a:off x="0" y="0"/>
                      <a:ext cx="6943725" cy="440436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Elaboración de Notas</w:t>
      </w:r>
    </w:p>
    <w:p>
      <w:pPr>
        <w:jc w:val="both"/>
        <w:rPr>
          <w:rFonts w:hint="default"/>
          <w:lang w:val="es-CO" w:eastAsia="zh-CN"/>
        </w:rPr>
      </w:pPr>
    </w:p>
    <w:p>
      <w:pPr>
        <w:pStyle w:val="3"/>
        <w:spacing w:before="0"/>
        <w:rPr>
          <w:rFonts w:hint="default" w:cs="Arial"/>
          <w:szCs w:val="24"/>
          <w:lang w:val="es-CO"/>
        </w:rPr>
      </w:pPr>
      <w:bookmarkStart w:id="9" w:name="_Toc21413"/>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9"/>
    </w:p>
    <w:p>
      <w:pPr>
        <w:jc w:val="both"/>
        <w:rPr>
          <w:rFonts w:hint="default" w:ascii="Arial" w:hAnsi="Arial" w:cs="Arial"/>
          <w:sz w:val="24"/>
          <w:szCs w:val="24"/>
          <w:lang w:val="es-CO" w:eastAsia="zh-CN"/>
        </w:rPr>
      </w:pPr>
      <w:r>
        <w:rPr>
          <w:rFonts w:hint="default" w:ascii="Arial" w:hAnsi="Arial" w:cs="Arial"/>
          <w:sz w:val="24"/>
          <w:szCs w:val="24"/>
          <w:lang w:val="es-CO" w:eastAsia="zh-CN"/>
        </w:rPr>
        <w:t>Para realizar un proceso de registro de notas de ajustes es necesario primeramente realizar la consulta del contribuyente al cual se le desea registrar dicha nota digitando el número de Identificación en el campo Identificación Contribuyente y dar ENTER.</w:t>
      </w:r>
    </w:p>
    <w:p>
      <w:pPr>
        <w:jc w:val="both"/>
        <w:rPr>
          <w:rFonts w:hint="default" w:ascii="Arial" w:hAnsi="Arial" w:cs="Arial"/>
          <w:sz w:val="24"/>
          <w:szCs w:val="24"/>
          <w:lang w:val="es-CO" w:eastAsia="zh-CN"/>
        </w:rPr>
      </w:pPr>
    </w:p>
    <w:p>
      <w:pPr>
        <w:jc w:val="center"/>
      </w:pPr>
      <w:r>
        <w:drawing>
          <wp:inline distT="0" distB="0" distL="114300" distR="114300">
            <wp:extent cx="5208270" cy="427355"/>
            <wp:effectExtent l="9525" t="9525" r="20955" b="2032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pic:cNvPicPr>
                      <a:picLocks noChangeAspect="1"/>
                    </pic:cNvPicPr>
                  </pic:nvPicPr>
                  <pic:blipFill>
                    <a:blip r:embed="rId16"/>
                    <a:stretch>
                      <a:fillRect/>
                    </a:stretch>
                  </pic:blipFill>
                  <pic:spPr>
                    <a:xfrm>
                      <a:off x="0" y="0"/>
                      <a:ext cx="5208270" cy="42735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Identificación Contribuyente</w:t>
      </w:r>
    </w:p>
    <w:p>
      <w:pPr>
        <w:jc w:val="both"/>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se debe: </w:t>
      </w:r>
    </w:p>
    <w:p>
      <w:pPr>
        <w:rPr>
          <w:rFonts w:hint="default" w:ascii="Arial" w:hAnsi="Arial" w:cs="Arial"/>
          <w:sz w:val="24"/>
          <w:szCs w:val="24"/>
          <w:lang w:val="es-CO" w:eastAsia="zh-CN"/>
        </w:rPr>
      </w:pPr>
      <w:r>
        <w:rPr>
          <w:rFonts w:hint="default" w:ascii="Arial" w:hAnsi="Arial" w:cs="Arial"/>
          <w:sz w:val="24"/>
          <w:szCs w:val="24"/>
          <w:lang w:val="es-CO" w:eastAsia="zh-CN"/>
        </w:rPr>
        <w:br w:type="page"/>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impuesto en el cual se le realizará el ajuste y dar ENTER: </w:t>
      </w:r>
    </w:p>
    <w:p>
      <w:pPr>
        <w:jc w:val="both"/>
        <w:rPr>
          <w:rFonts w:hint="default" w:ascii="Arial" w:hAnsi="Arial" w:cs="Arial"/>
          <w:sz w:val="24"/>
          <w:szCs w:val="24"/>
          <w:lang w:val="es-CO" w:eastAsia="zh-CN"/>
        </w:rPr>
      </w:pPr>
    </w:p>
    <w:p>
      <w:pPr>
        <w:jc w:val="center"/>
      </w:pPr>
      <w:r>
        <w:drawing>
          <wp:inline distT="0" distB="0" distL="114300" distR="114300">
            <wp:extent cx="4129405" cy="2918460"/>
            <wp:effectExtent l="9525" t="9525" r="13970" b="24765"/>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pic:cNvPicPr>
                      <a:picLocks noChangeAspect="1"/>
                    </pic:cNvPicPr>
                  </pic:nvPicPr>
                  <pic:blipFill>
                    <a:blip r:embed="rId17"/>
                    <a:stretch>
                      <a:fillRect/>
                    </a:stretch>
                  </pic:blipFill>
                  <pic:spPr>
                    <a:xfrm>
                      <a:off x="0" y="0"/>
                      <a:ext cx="4129405" cy="291846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Impuesto</w:t>
      </w:r>
    </w:p>
    <w:p>
      <w:pPr>
        <w:jc w:val="both"/>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Al dar ENTER se cargará la información referente a la cartera del contribuyente y el detalle d la nota de ajuste: </w:t>
      </w:r>
    </w:p>
    <w:p>
      <w:pPr>
        <w:jc w:val="both"/>
        <w:rPr>
          <w:rFonts w:hint="default" w:ascii="Arial" w:hAnsi="Arial" w:cs="Arial"/>
          <w:sz w:val="24"/>
          <w:szCs w:val="24"/>
          <w:lang w:val="es-CO" w:eastAsia="zh-CN"/>
        </w:rPr>
      </w:pPr>
    </w:p>
    <w:p>
      <w:pPr>
        <w:jc w:val="center"/>
      </w:pPr>
      <w:r>
        <w:drawing>
          <wp:inline distT="0" distB="0" distL="114300" distR="114300">
            <wp:extent cx="6854825" cy="843280"/>
            <wp:effectExtent l="9525" t="9525" r="12700" b="23495"/>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8"/>
                    <pic:cNvPicPr>
                      <a:picLocks noChangeAspect="1"/>
                    </pic:cNvPicPr>
                  </pic:nvPicPr>
                  <pic:blipFill>
                    <a:blip r:embed="rId18"/>
                    <a:stretch>
                      <a:fillRect/>
                    </a:stretch>
                  </pic:blipFill>
                  <pic:spPr>
                    <a:xfrm>
                      <a:off x="0" y="0"/>
                      <a:ext cx="6854825" cy="84328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9 Detalle de Nota de Ajuste </w:t>
      </w:r>
    </w:p>
    <w:p>
      <w:pPr>
        <w:jc w:val="both"/>
        <w:rPr>
          <w:rFonts w:hint="default"/>
          <w:lang w:val="es-CO" w:eastAsia="zh-CN"/>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39"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15"/>
                          <pic:cNvPicPr>
                            <a:picLocks noChangeAspect="1"/>
                          </pic:cNvPicPr>
                        </pic:nvPicPr>
                        <pic:blipFill>
                          <a:blip r:embed="rId19"/>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7"/>
              <w:jc w:val="both"/>
              <w:rPr>
                <w:rFonts w:hint="default"/>
                <w:i/>
                <w:iCs/>
                <w:color w:val="7F7F7F" w:themeColor="background1" w:themeShade="80"/>
                <w:sz w:val="18"/>
                <w:szCs w:val="18"/>
                <w:lang w:val="es-CO"/>
              </w:rPr>
            </w:pPr>
            <w:r>
              <w:rPr>
                <w:rFonts w:hint="default" w:ascii="Arial" w:hAnsi="Arial" w:cs="Arial"/>
                <w:b/>
                <w:color w:val="0047AC"/>
                <w:sz w:val="24"/>
                <w:szCs w:val="24"/>
                <w:lang w:val="es-CO" w:eastAsia="zh-CN"/>
              </w:rPr>
              <w:t xml:space="preserve">Nota Importante: </w:t>
            </w:r>
            <w:r>
              <w:rPr>
                <w:rStyle w:val="25"/>
                <w:rFonts w:hint="default" w:ascii="Arial" w:hAnsi="Arial" w:cs="Arial"/>
                <w:sz w:val="24"/>
                <w:szCs w:val="24"/>
                <w:lang w:val="es-CO" w:eastAsia="zh-CN"/>
              </w:rPr>
              <w:t>Si se desea que solo le listen los conceptos con saldo se debe marcar la casilla</w:t>
            </w:r>
            <w:r>
              <w:rPr>
                <w:rStyle w:val="25"/>
                <w:rFonts w:hint="default" w:cs="Arial"/>
                <w:sz w:val="24"/>
                <w:szCs w:val="24"/>
                <w:lang w:val="es-CO" w:eastAsia="zh-CN"/>
              </w:rPr>
              <w:t>:</w:t>
            </w:r>
          </w:p>
          <w:p>
            <w:pPr>
              <w:pStyle w:val="24"/>
              <w:ind w:left="0"/>
              <w:rPr>
                <w:rStyle w:val="25"/>
                <w:rFonts w:hint="default" w:ascii="Arial" w:hAnsi="Arial"/>
                <w:sz w:val="24"/>
                <w:szCs w:val="24"/>
                <w:lang w:val="es-CO" w:eastAsia="zh-CN"/>
              </w:rPr>
            </w:pPr>
          </w:p>
          <w:p>
            <w:pPr>
              <w:pStyle w:val="24"/>
              <w:ind w:left="0"/>
              <w:jc w:val="center"/>
            </w:pPr>
            <w:r>
              <w:drawing>
                <wp:inline distT="0" distB="0" distL="114300" distR="114300">
                  <wp:extent cx="2152650" cy="228600"/>
                  <wp:effectExtent l="9525" t="9525" r="9525" b="9525"/>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9"/>
                          <pic:cNvPicPr>
                            <a:picLocks noChangeAspect="1"/>
                          </pic:cNvPicPr>
                        </pic:nvPicPr>
                        <pic:blipFill>
                          <a:blip r:embed="rId20"/>
                          <a:stretch>
                            <a:fillRect/>
                          </a:stretch>
                        </pic:blipFill>
                        <pic:spPr>
                          <a:xfrm>
                            <a:off x="0" y="0"/>
                            <a:ext cx="2152650" cy="22860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Solo Despliega Conceptos con Saldo</w:t>
            </w:r>
          </w:p>
          <w:p>
            <w:pPr>
              <w:pStyle w:val="24"/>
              <w:ind w:left="0"/>
              <w:jc w:val="center"/>
              <w:rPr>
                <w:rFonts w:hint="default"/>
                <w:lang w:val="es-CO" w:eastAsia="zh-CN"/>
              </w:rPr>
            </w:pPr>
          </w:p>
        </w:tc>
      </w:tr>
    </w:tbl>
    <w:p>
      <w:pPr>
        <w:jc w:val="both"/>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Diligenciar la sección detalle de la nota de ajuste: </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Tipo de ajuste a realizar: </w:t>
      </w:r>
    </w:p>
    <w:p>
      <w:pPr>
        <w:jc w:val="both"/>
        <w:rPr>
          <w:rFonts w:hint="default" w:ascii="Arial" w:hAnsi="Arial" w:cs="Arial"/>
          <w:sz w:val="24"/>
          <w:szCs w:val="24"/>
          <w:lang w:val="es-CO" w:eastAsia="zh-CN"/>
        </w:rPr>
      </w:pPr>
    </w:p>
    <w:p>
      <w:pPr>
        <w:jc w:val="center"/>
      </w:pPr>
      <w:r>
        <w:drawing>
          <wp:inline distT="0" distB="0" distL="114300" distR="114300">
            <wp:extent cx="2323465" cy="628015"/>
            <wp:effectExtent l="9525" t="9525" r="10160" b="10160"/>
            <wp:docPr id="3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11"/>
                    <pic:cNvPicPr>
                      <a:picLocks noChangeAspect="1"/>
                    </pic:cNvPicPr>
                  </pic:nvPicPr>
                  <pic:blipFill>
                    <a:blip r:embed="rId21"/>
                    <a:stretch>
                      <a:fillRect/>
                    </a:stretch>
                  </pic:blipFill>
                  <pic:spPr>
                    <a:xfrm>
                      <a:off x="0" y="0"/>
                      <a:ext cx="2323465" cy="62801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Tipo de Ajuste</w:t>
      </w:r>
    </w:p>
    <w:p>
      <w:pPr>
        <w:jc w:val="center"/>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la fecha de realización del ajuste: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569720" cy="2230755"/>
            <wp:effectExtent l="9525" t="9525" r="20955" b="26670"/>
            <wp:docPr id="3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12"/>
                    <pic:cNvPicPr>
                      <a:picLocks noChangeAspect="1"/>
                    </pic:cNvPicPr>
                  </pic:nvPicPr>
                  <pic:blipFill>
                    <a:blip r:embed="rId22"/>
                    <a:stretch>
                      <a:fillRect/>
                    </a:stretch>
                  </pic:blipFill>
                  <pic:spPr>
                    <a:xfrm>
                      <a:off x="0" y="0"/>
                      <a:ext cx="1569720" cy="223075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Fecha de Ajuste</w:t>
      </w:r>
    </w:p>
    <w:p>
      <w:pPr>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la causal de ajuste: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4181475" cy="2404110"/>
            <wp:effectExtent l="9525" t="9525" r="19050" b="24765"/>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3"/>
                    <pic:cNvPicPr>
                      <a:picLocks noChangeAspect="1"/>
                    </pic:cNvPicPr>
                  </pic:nvPicPr>
                  <pic:blipFill>
                    <a:blip r:embed="rId23"/>
                    <a:stretch>
                      <a:fillRect/>
                    </a:stretch>
                  </pic:blipFill>
                  <pic:spPr>
                    <a:xfrm>
                      <a:off x="0" y="0"/>
                      <a:ext cx="4181475" cy="240411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Causal Ajuste</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una observación relacionada con el ajuste: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990850" cy="266700"/>
            <wp:effectExtent l="9525" t="9525" r="9525" b="9525"/>
            <wp:docPr id="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4"/>
                    <pic:cNvPicPr>
                      <a:picLocks noChangeAspect="1"/>
                    </pic:cNvPicPr>
                  </pic:nvPicPr>
                  <pic:blipFill>
                    <a:blip r:embed="rId24"/>
                    <a:stretch>
                      <a:fillRect/>
                    </a:stretch>
                  </pic:blipFill>
                  <pic:spPr>
                    <a:xfrm>
                      <a:off x="0" y="0"/>
                      <a:ext cx="2990850" cy="2667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Observación</w:t>
      </w:r>
    </w:p>
    <w:p>
      <w:pPr>
        <w:jc w:val="both"/>
        <w:rPr>
          <w:rFonts w:hint="default" w:ascii="Arial" w:hAnsi="Arial" w:cs="Arial"/>
          <w:sz w:val="24"/>
          <w:szCs w:val="24"/>
          <w:lang w:val="es-CO" w:eastAsia="zh-CN"/>
        </w:rPr>
      </w:pPr>
    </w:p>
    <w:p>
      <w:pPr>
        <w:jc w:val="both"/>
        <w:rPr>
          <w:rFonts w:hint="default" w:ascii="Arial" w:hAnsi="Arial" w:cs="Arial"/>
          <w:color w:val="000000"/>
          <w:sz w:val="24"/>
          <w:szCs w:val="24"/>
        </w:rPr>
      </w:pPr>
      <w:r>
        <w:rPr>
          <w:rFonts w:hint="default" w:ascii="Arial" w:hAnsi="Arial" w:cs="Arial"/>
          <w:color w:val="000000"/>
          <w:sz w:val="24"/>
          <w:szCs w:val="24"/>
        </w:rPr>
        <w:t xml:space="preserve">La columna Total Ajuste se va actualizando automáticamente a medida que se van ingresando los valores de los ajustes, Se pueden ingresar valores de ajuste a todas las vigencias en pantalla según su necesidad teniendo en cuenta modificar solo las casillas mencionadas. Hay una utilidad adicional en este manejo, para mayor rapidez y si el ajuste que se va a hacer es sobre el total capital + interés en la vigencia deseada entonces con solo marcar </w:t>
      </w:r>
      <w:r>
        <w:rPr>
          <w:rFonts w:hint="default" w:ascii="Arial" w:hAnsi="Arial" w:cs="Arial"/>
          <w:color w:val="000000"/>
          <w:sz w:val="24"/>
          <w:szCs w:val="24"/>
          <w:lang w:val="es-CO"/>
        </w:rPr>
        <w:t xml:space="preserve">la casilla </w:t>
      </w:r>
      <w:r>
        <w:rPr>
          <w:rFonts w:hint="default" w:ascii="Arial" w:hAnsi="Arial" w:cs="Arial"/>
          <w:color w:val="000000"/>
          <w:sz w:val="24"/>
          <w:szCs w:val="24"/>
        </w:rPr>
        <w:t>de esas vigencias instantáneamente el sistema deposita los valores de ajuste en las casillas correspondientes.</w:t>
      </w:r>
    </w:p>
    <w:p>
      <w:pPr>
        <w:jc w:val="both"/>
        <w:rPr>
          <w:rFonts w:hint="default" w:ascii="Arial" w:hAnsi="Arial" w:cs="Arial"/>
          <w:color w:val="000000"/>
          <w:sz w:val="24"/>
          <w:szCs w:val="24"/>
        </w:rPr>
      </w:pPr>
    </w:p>
    <w:p>
      <w:pPr>
        <w:jc w:val="center"/>
      </w:pPr>
      <w:r>
        <w:drawing>
          <wp:inline distT="0" distB="0" distL="114300" distR="114300">
            <wp:extent cx="6850380" cy="611505"/>
            <wp:effectExtent l="9525" t="9525" r="17145" b="2667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pic:cNvPicPr>
                      <a:picLocks noChangeAspect="1"/>
                    </pic:cNvPicPr>
                  </pic:nvPicPr>
                  <pic:blipFill>
                    <a:blip r:embed="rId25"/>
                    <a:stretch>
                      <a:fillRect/>
                    </a:stretch>
                  </pic:blipFill>
                  <pic:spPr>
                    <a:xfrm>
                      <a:off x="0" y="0"/>
                      <a:ext cx="6850380" cy="61150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Marcar Casilla</w:t>
      </w:r>
    </w:p>
    <w:p>
      <w:pPr>
        <w:jc w:val="center"/>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Por último se debe dar clic en </w:t>
      </w:r>
      <w:r>
        <w:drawing>
          <wp:inline distT="0" distB="0" distL="114300" distR="114300">
            <wp:extent cx="1266825" cy="219075"/>
            <wp:effectExtent l="0" t="0" r="9525" b="9525"/>
            <wp:docPr id="4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5"/>
                    <pic:cNvPicPr>
                      <a:picLocks noChangeAspect="1"/>
                    </pic:cNvPicPr>
                  </pic:nvPicPr>
                  <pic:blipFill>
                    <a:blip r:embed="rId26"/>
                    <a:stretch>
                      <a:fillRect/>
                    </a:stretch>
                  </pic:blipFill>
                  <pic:spPr>
                    <a:xfrm>
                      <a:off x="0" y="0"/>
                      <a:ext cx="1266825" cy="219075"/>
                    </a:xfrm>
                    <a:prstGeom prst="rect">
                      <a:avLst/>
                    </a:prstGeom>
                    <a:noFill/>
                    <a:ln>
                      <a:noFill/>
                    </a:ln>
                  </pic:spPr>
                </pic:pic>
              </a:graphicData>
            </a:graphic>
          </wp:inline>
        </w:drawing>
      </w:r>
      <w:r>
        <w:rPr>
          <w:rFonts w:hint="default" w:ascii="Arial" w:hAnsi="Arial" w:cs="Arial"/>
          <w:sz w:val="24"/>
          <w:szCs w:val="24"/>
          <w:lang w:val="es-CO"/>
        </w:rPr>
        <w:t xml:space="preserve"> y el sistema mostrará un reporte con la nota realizada.</w:t>
      </w: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11"/>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Notas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Otros Ingresos.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3FAC"/>
    <w:rsid w:val="00073477"/>
    <w:rsid w:val="001B0203"/>
    <w:rsid w:val="001E212E"/>
    <w:rsid w:val="001F5BAE"/>
    <w:rsid w:val="00355D76"/>
    <w:rsid w:val="003E3208"/>
    <w:rsid w:val="00411659"/>
    <w:rsid w:val="00417C8E"/>
    <w:rsid w:val="00433E9C"/>
    <w:rsid w:val="004D43B2"/>
    <w:rsid w:val="00524FDD"/>
    <w:rsid w:val="00674269"/>
    <w:rsid w:val="006D60DD"/>
    <w:rsid w:val="0080320D"/>
    <w:rsid w:val="00803633"/>
    <w:rsid w:val="0082420D"/>
    <w:rsid w:val="00825AF6"/>
    <w:rsid w:val="008F473B"/>
    <w:rsid w:val="00946E77"/>
    <w:rsid w:val="00974BF6"/>
    <w:rsid w:val="00BA46BF"/>
    <w:rsid w:val="00BA674C"/>
    <w:rsid w:val="00CA3079"/>
    <w:rsid w:val="00D40E02"/>
    <w:rsid w:val="00E016ED"/>
    <w:rsid w:val="00F079BF"/>
    <w:rsid w:val="00F36AB1"/>
    <w:rsid w:val="00F41DF3"/>
    <w:rsid w:val="00F63150"/>
    <w:rsid w:val="01356B57"/>
    <w:rsid w:val="017C59AE"/>
    <w:rsid w:val="01887070"/>
    <w:rsid w:val="01A35DC7"/>
    <w:rsid w:val="02707865"/>
    <w:rsid w:val="028F249A"/>
    <w:rsid w:val="02C84374"/>
    <w:rsid w:val="02CE5FCE"/>
    <w:rsid w:val="02D03CAC"/>
    <w:rsid w:val="02D775C7"/>
    <w:rsid w:val="02DD27C5"/>
    <w:rsid w:val="03016CF5"/>
    <w:rsid w:val="030A4AB2"/>
    <w:rsid w:val="0366397B"/>
    <w:rsid w:val="03867A56"/>
    <w:rsid w:val="03B35C63"/>
    <w:rsid w:val="0472112A"/>
    <w:rsid w:val="047A20B4"/>
    <w:rsid w:val="04B538E5"/>
    <w:rsid w:val="04E42BFC"/>
    <w:rsid w:val="04E867E1"/>
    <w:rsid w:val="053130AE"/>
    <w:rsid w:val="05551D8E"/>
    <w:rsid w:val="058F622F"/>
    <w:rsid w:val="05BC1C13"/>
    <w:rsid w:val="05D14BA6"/>
    <w:rsid w:val="060B1959"/>
    <w:rsid w:val="06111A8A"/>
    <w:rsid w:val="061E3FF9"/>
    <w:rsid w:val="064F137F"/>
    <w:rsid w:val="06663418"/>
    <w:rsid w:val="06835468"/>
    <w:rsid w:val="07200DA3"/>
    <w:rsid w:val="07262F28"/>
    <w:rsid w:val="073177BF"/>
    <w:rsid w:val="075C360F"/>
    <w:rsid w:val="07802BF4"/>
    <w:rsid w:val="079908E2"/>
    <w:rsid w:val="080158BE"/>
    <w:rsid w:val="080B6F30"/>
    <w:rsid w:val="088B3ED3"/>
    <w:rsid w:val="08C85B96"/>
    <w:rsid w:val="08DB3DBB"/>
    <w:rsid w:val="08ED21FE"/>
    <w:rsid w:val="09411F54"/>
    <w:rsid w:val="09652381"/>
    <w:rsid w:val="0980214B"/>
    <w:rsid w:val="098149E6"/>
    <w:rsid w:val="09942A15"/>
    <w:rsid w:val="09F120E6"/>
    <w:rsid w:val="09F73C68"/>
    <w:rsid w:val="0ACC78D8"/>
    <w:rsid w:val="0B172B7F"/>
    <w:rsid w:val="0B3C2509"/>
    <w:rsid w:val="0BCA2366"/>
    <w:rsid w:val="0C10109B"/>
    <w:rsid w:val="0C87331D"/>
    <w:rsid w:val="0CB111C6"/>
    <w:rsid w:val="0CB72639"/>
    <w:rsid w:val="0CCA6F6A"/>
    <w:rsid w:val="0CF65462"/>
    <w:rsid w:val="0D047B71"/>
    <w:rsid w:val="0D194462"/>
    <w:rsid w:val="0D592C8A"/>
    <w:rsid w:val="0DA7141B"/>
    <w:rsid w:val="0E1E62F4"/>
    <w:rsid w:val="0E593919"/>
    <w:rsid w:val="0E926CFF"/>
    <w:rsid w:val="0EA87D07"/>
    <w:rsid w:val="0EE24322"/>
    <w:rsid w:val="0F0376CD"/>
    <w:rsid w:val="0F3F3112"/>
    <w:rsid w:val="0F4B6710"/>
    <w:rsid w:val="0F600F08"/>
    <w:rsid w:val="0FCB4101"/>
    <w:rsid w:val="0FEA1BAE"/>
    <w:rsid w:val="10634555"/>
    <w:rsid w:val="10654A1B"/>
    <w:rsid w:val="1096672C"/>
    <w:rsid w:val="10D31685"/>
    <w:rsid w:val="1113571B"/>
    <w:rsid w:val="113B6C84"/>
    <w:rsid w:val="11432A44"/>
    <w:rsid w:val="11442AAB"/>
    <w:rsid w:val="11692970"/>
    <w:rsid w:val="118E5C29"/>
    <w:rsid w:val="11B12498"/>
    <w:rsid w:val="11D42BC7"/>
    <w:rsid w:val="11E91635"/>
    <w:rsid w:val="122024B8"/>
    <w:rsid w:val="125D51D0"/>
    <w:rsid w:val="1281778C"/>
    <w:rsid w:val="12DF6079"/>
    <w:rsid w:val="13367668"/>
    <w:rsid w:val="134069E4"/>
    <w:rsid w:val="134A2D25"/>
    <w:rsid w:val="13687A12"/>
    <w:rsid w:val="138B7968"/>
    <w:rsid w:val="13B46E99"/>
    <w:rsid w:val="13C4037B"/>
    <w:rsid w:val="13D415A1"/>
    <w:rsid w:val="13D61AC2"/>
    <w:rsid w:val="13DC1791"/>
    <w:rsid w:val="142070CC"/>
    <w:rsid w:val="1456184A"/>
    <w:rsid w:val="146C24FA"/>
    <w:rsid w:val="146F7046"/>
    <w:rsid w:val="14832EE4"/>
    <w:rsid w:val="14B23AFB"/>
    <w:rsid w:val="14CC46EE"/>
    <w:rsid w:val="14F806D9"/>
    <w:rsid w:val="150919B7"/>
    <w:rsid w:val="155215DF"/>
    <w:rsid w:val="15F3725D"/>
    <w:rsid w:val="16105F12"/>
    <w:rsid w:val="161C78CF"/>
    <w:rsid w:val="16440EB9"/>
    <w:rsid w:val="16623CC2"/>
    <w:rsid w:val="16632EBA"/>
    <w:rsid w:val="16737578"/>
    <w:rsid w:val="168250AE"/>
    <w:rsid w:val="16880615"/>
    <w:rsid w:val="16952A56"/>
    <w:rsid w:val="16CE3DA9"/>
    <w:rsid w:val="16DC6770"/>
    <w:rsid w:val="16ED393B"/>
    <w:rsid w:val="16EF0BEF"/>
    <w:rsid w:val="16FA4102"/>
    <w:rsid w:val="170133B4"/>
    <w:rsid w:val="170A4821"/>
    <w:rsid w:val="17201571"/>
    <w:rsid w:val="173F27A8"/>
    <w:rsid w:val="17685C08"/>
    <w:rsid w:val="17712A6F"/>
    <w:rsid w:val="17AA6CC7"/>
    <w:rsid w:val="1812594D"/>
    <w:rsid w:val="182A1F47"/>
    <w:rsid w:val="18906FA8"/>
    <w:rsid w:val="19086002"/>
    <w:rsid w:val="193077F0"/>
    <w:rsid w:val="19376E2A"/>
    <w:rsid w:val="19954419"/>
    <w:rsid w:val="1999234A"/>
    <w:rsid w:val="19B13EB9"/>
    <w:rsid w:val="19F75913"/>
    <w:rsid w:val="1A034A2F"/>
    <w:rsid w:val="1A2118FA"/>
    <w:rsid w:val="1A2C21D4"/>
    <w:rsid w:val="1A7437A6"/>
    <w:rsid w:val="1A9C4263"/>
    <w:rsid w:val="1AB87540"/>
    <w:rsid w:val="1B3C1350"/>
    <w:rsid w:val="1B60689F"/>
    <w:rsid w:val="1B700344"/>
    <w:rsid w:val="1BD80EAB"/>
    <w:rsid w:val="1BDD41D9"/>
    <w:rsid w:val="1BF63D84"/>
    <w:rsid w:val="1C0C0724"/>
    <w:rsid w:val="1C644B20"/>
    <w:rsid w:val="1C7B600C"/>
    <w:rsid w:val="1C8B5031"/>
    <w:rsid w:val="1CBA04E3"/>
    <w:rsid w:val="1D0043B4"/>
    <w:rsid w:val="1D0917B2"/>
    <w:rsid w:val="1D254F74"/>
    <w:rsid w:val="1D3230E5"/>
    <w:rsid w:val="1D512696"/>
    <w:rsid w:val="1D7B1F48"/>
    <w:rsid w:val="1D841EB7"/>
    <w:rsid w:val="1D963BAC"/>
    <w:rsid w:val="1DCA6772"/>
    <w:rsid w:val="1DDA61AA"/>
    <w:rsid w:val="1E027A4F"/>
    <w:rsid w:val="1E293161"/>
    <w:rsid w:val="1E4B7BE5"/>
    <w:rsid w:val="1E4E46E3"/>
    <w:rsid w:val="1F0B6F66"/>
    <w:rsid w:val="1F9D1DD6"/>
    <w:rsid w:val="1FE86298"/>
    <w:rsid w:val="1FFE517B"/>
    <w:rsid w:val="201C57DB"/>
    <w:rsid w:val="203A4B26"/>
    <w:rsid w:val="20714DCA"/>
    <w:rsid w:val="20992AD2"/>
    <w:rsid w:val="20CD225F"/>
    <w:rsid w:val="20E83F30"/>
    <w:rsid w:val="213D7A0E"/>
    <w:rsid w:val="216604C7"/>
    <w:rsid w:val="21A75B00"/>
    <w:rsid w:val="222A1CCD"/>
    <w:rsid w:val="22BC3998"/>
    <w:rsid w:val="22C37366"/>
    <w:rsid w:val="22C44EF4"/>
    <w:rsid w:val="22C65936"/>
    <w:rsid w:val="23041B6E"/>
    <w:rsid w:val="23074EC2"/>
    <w:rsid w:val="232133E8"/>
    <w:rsid w:val="23587E95"/>
    <w:rsid w:val="23714091"/>
    <w:rsid w:val="24180CB7"/>
    <w:rsid w:val="24584650"/>
    <w:rsid w:val="245D3A76"/>
    <w:rsid w:val="25423CAF"/>
    <w:rsid w:val="25A3280C"/>
    <w:rsid w:val="25BD552C"/>
    <w:rsid w:val="25D47672"/>
    <w:rsid w:val="261175D0"/>
    <w:rsid w:val="2621733A"/>
    <w:rsid w:val="265C25F1"/>
    <w:rsid w:val="266E6E6D"/>
    <w:rsid w:val="26895D97"/>
    <w:rsid w:val="26B65BDD"/>
    <w:rsid w:val="26C2011F"/>
    <w:rsid w:val="26E7378B"/>
    <w:rsid w:val="271465CB"/>
    <w:rsid w:val="273A440D"/>
    <w:rsid w:val="273F09DB"/>
    <w:rsid w:val="27786F89"/>
    <w:rsid w:val="2786313A"/>
    <w:rsid w:val="27A9525B"/>
    <w:rsid w:val="27B819DE"/>
    <w:rsid w:val="27C36E8F"/>
    <w:rsid w:val="28301116"/>
    <w:rsid w:val="28B478DC"/>
    <w:rsid w:val="28B95DEA"/>
    <w:rsid w:val="28CF0DED"/>
    <w:rsid w:val="28E67404"/>
    <w:rsid w:val="290D1E1D"/>
    <w:rsid w:val="294340D6"/>
    <w:rsid w:val="295A6B30"/>
    <w:rsid w:val="29F23893"/>
    <w:rsid w:val="2A1E0E44"/>
    <w:rsid w:val="2A633EC2"/>
    <w:rsid w:val="2AA05B77"/>
    <w:rsid w:val="2ABF4989"/>
    <w:rsid w:val="2B386BD9"/>
    <w:rsid w:val="2B5D54B9"/>
    <w:rsid w:val="2B5E15BA"/>
    <w:rsid w:val="2B870443"/>
    <w:rsid w:val="2B947CB1"/>
    <w:rsid w:val="2BBD158D"/>
    <w:rsid w:val="2BE31755"/>
    <w:rsid w:val="2BEE5852"/>
    <w:rsid w:val="2C0F2134"/>
    <w:rsid w:val="2C2C2123"/>
    <w:rsid w:val="2C377B42"/>
    <w:rsid w:val="2C7A4741"/>
    <w:rsid w:val="2CA10AA1"/>
    <w:rsid w:val="2D042A18"/>
    <w:rsid w:val="2D0B263A"/>
    <w:rsid w:val="2D32519E"/>
    <w:rsid w:val="2D537F78"/>
    <w:rsid w:val="2D560344"/>
    <w:rsid w:val="2D656495"/>
    <w:rsid w:val="2D6B724D"/>
    <w:rsid w:val="2D987AD2"/>
    <w:rsid w:val="2D9C323F"/>
    <w:rsid w:val="2DD54148"/>
    <w:rsid w:val="2DED7A0C"/>
    <w:rsid w:val="2E092C39"/>
    <w:rsid w:val="2E506B8C"/>
    <w:rsid w:val="2E5A3BF5"/>
    <w:rsid w:val="2EAB2728"/>
    <w:rsid w:val="2EB27818"/>
    <w:rsid w:val="2EB43E76"/>
    <w:rsid w:val="2EB95E0A"/>
    <w:rsid w:val="2F1365BF"/>
    <w:rsid w:val="2F527E0F"/>
    <w:rsid w:val="2F590445"/>
    <w:rsid w:val="2F7F7739"/>
    <w:rsid w:val="2FA46ACE"/>
    <w:rsid w:val="2FCF3374"/>
    <w:rsid w:val="2FD55C5C"/>
    <w:rsid w:val="2FF81323"/>
    <w:rsid w:val="30A811FE"/>
    <w:rsid w:val="30EC29EF"/>
    <w:rsid w:val="31315A35"/>
    <w:rsid w:val="313F42D0"/>
    <w:rsid w:val="31B97DC0"/>
    <w:rsid w:val="31DB705C"/>
    <w:rsid w:val="321C4CBD"/>
    <w:rsid w:val="321D426A"/>
    <w:rsid w:val="32275A60"/>
    <w:rsid w:val="32B242C7"/>
    <w:rsid w:val="336D70C3"/>
    <w:rsid w:val="338D1A6E"/>
    <w:rsid w:val="33944B31"/>
    <w:rsid w:val="33BC3F44"/>
    <w:rsid w:val="3416731A"/>
    <w:rsid w:val="341D4F75"/>
    <w:rsid w:val="34621172"/>
    <w:rsid w:val="348A2160"/>
    <w:rsid w:val="34CA627A"/>
    <w:rsid w:val="34CD1309"/>
    <w:rsid w:val="3586405E"/>
    <w:rsid w:val="35D31139"/>
    <w:rsid w:val="35F965B2"/>
    <w:rsid w:val="362774D6"/>
    <w:rsid w:val="36391ACD"/>
    <w:rsid w:val="367D38B3"/>
    <w:rsid w:val="369F1EFF"/>
    <w:rsid w:val="36AC223B"/>
    <w:rsid w:val="36B73257"/>
    <w:rsid w:val="375D551B"/>
    <w:rsid w:val="37815EA5"/>
    <w:rsid w:val="378C6279"/>
    <w:rsid w:val="37DC6268"/>
    <w:rsid w:val="37E45D03"/>
    <w:rsid w:val="3811573D"/>
    <w:rsid w:val="381E16F8"/>
    <w:rsid w:val="3836380C"/>
    <w:rsid w:val="38764D55"/>
    <w:rsid w:val="38942D19"/>
    <w:rsid w:val="38A43162"/>
    <w:rsid w:val="38DB5247"/>
    <w:rsid w:val="38E84639"/>
    <w:rsid w:val="39261FFA"/>
    <w:rsid w:val="398C2DED"/>
    <w:rsid w:val="399259BE"/>
    <w:rsid w:val="39C66B42"/>
    <w:rsid w:val="3A165C61"/>
    <w:rsid w:val="3A2738CF"/>
    <w:rsid w:val="3A53658E"/>
    <w:rsid w:val="3AA27453"/>
    <w:rsid w:val="3AE160BF"/>
    <w:rsid w:val="3B2850DF"/>
    <w:rsid w:val="3B405E26"/>
    <w:rsid w:val="3B68301B"/>
    <w:rsid w:val="3B74690F"/>
    <w:rsid w:val="3B9C0360"/>
    <w:rsid w:val="3BBB3CF7"/>
    <w:rsid w:val="3BE473AD"/>
    <w:rsid w:val="3C7B019D"/>
    <w:rsid w:val="3CCA7FED"/>
    <w:rsid w:val="3CDB4EC6"/>
    <w:rsid w:val="3D4B44F3"/>
    <w:rsid w:val="3D7D544C"/>
    <w:rsid w:val="3E1F5C43"/>
    <w:rsid w:val="3E273F4C"/>
    <w:rsid w:val="3E296719"/>
    <w:rsid w:val="3E490741"/>
    <w:rsid w:val="3E5E7679"/>
    <w:rsid w:val="3EB4218D"/>
    <w:rsid w:val="3EBA0F73"/>
    <w:rsid w:val="3EBE5DC2"/>
    <w:rsid w:val="3F273A94"/>
    <w:rsid w:val="3FBA76F7"/>
    <w:rsid w:val="3FF11D71"/>
    <w:rsid w:val="3FF76A24"/>
    <w:rsid w:val="400624D5"/>
    <w:rsid w:val="40082E55"/>
    <w:rsid w:val="40340680"/>
    <w:rsid w:val="404064F9"/>
    <w:rsid w:val="405A5084"/>
    <w:rsid w:val="409075C0"/>
    <w:rsid w:val="40A254A9"/>
    <w:rsid w:val="4118630C"/>
    <w:rsid w:val="411C1C6D"/>
    <w:rsid w:val="411D789C"/>
    <w:rsid w:val="4130781A"/>
    <w:rsid w:val="415E7175"/>
    <w:rsid w:val="41A1742F"/>
    <w:rsid w:val="41DA4F10"/>
    <w:rsid w:val="42153F72"/>
    <w:rsid w:val="42252C6A"/>
    <w:rsid w:val="42360277"/>
    <w:rsid w:val="42597916"/>
    <w:rsid w:val="427B6968"/>
    <w:rsid w:val="42E00AB7"/>
    <w:rsid w:val="431E75BE"/>
    <w:rsid w:val="43256057"/>
    <w:rsid w:val="43415F8A"/>
    <w:rsid w:val="43F115C3"/>
    <w:rsid w:val="440050BA"/>
    <w:rsid w:val="440B2D2A"/>
    <w:rsid w:val="4433754D"/>
    <w:rsid w:val="443814BB"/>
    <w:rsid w:val="4442010E"/>
    <w:rsid w:val="447B3CF6"/>
    <w:rsid w:val="453C3A2F"/>
    <w:rsid w:val="45632111"/>
    <w:rsid w:val="456F6488"/>
    <w:rsid w:val="45B73827"/>
    <w:rsid w:val="45D75786"/>
    <w:rsid w:val="460175EC"/>
    <w:rsid w:val="46196E9D"/>
    <w:rsid w:val="461C31C7"/>
    <w:rsid w:val="46906B11"/>
    <w:rsid w:val="46A85E13"/>
    <w:rsid w:val="46AD7F99"/>
    <w:rsid w:val="46C75776"/>
    <w:rsid w:val="46CA783A"/>
    <w:rsid w:val="46EE5F19"/>
    <w:rsid w:val="4784226C"/>
    <w:rsid w:val="47921365"/>
    <w:rsid w:val="47BB66CE"/>
    <w:rsid w:val="47D44723"/>
    <w:rsid w:val="47E85F84"/>
    <w:rsid w:val="48071717"/>
    <w:rsid w:val="48584EA6"/>
    <w:rsid w:val="486E5779"/>
    <w:rsid w:val="48F01A61"/>
    <w:rsid w:val="493720BB"/>
    <w:rsid w:val="494E563A"/>
    <w:rsid w:val="4981795B"/>
    <w:rsid w:val="49C83510"/>
    <w:rsid w:val="49EF1EF6"/>
    <w:rsid w:val="4A3C351F"/>
    <w:rsid w:val="4A81631A"/>
    <w:rsid w:val="4AA93627"/>
    <w:rsid w:val="4AEA5CA5"/>
    <w:rsid w:val="4AEC1E08"/>
    <w:rsid w:val="4B201069"/>
    <w:rsid w:val="4B2B2279"/>
    <w:rsid w:val="4B5A3030"/>
    <w:rsid w:val="4B88378A"/>
    <w:rsid w:val="4BD43BFA"/>
    <w:rsid w:val="4BDF2C27"/>
    <w:rsid w:val="4BE07B96"/>
    <w:rsid w:val="4BE52A5F"/>
    <w:rsid w:val="4C0D0EF8"/>
    <w:rsid w:val="4C59552C"/>
    <w:rsid w:val="4C671FA3"/>
    <w:rsid w:val="4D0C738A"/>
    <w:rsid w:val="4D4F6667"/>
    <w:rsid w:val="4D7F1953"/>
    <w:rsid w:val="4DE43CD6"/>
    <w:rsid w:val="4DE91031"/>
    <w:rsid w:val="4DEE1581"/>
    <w:rsid w:val="4E164EB1"/>
    <w:rsid w:val="4E340676"/>
    <w:rsid w:val="4EAD2795"/>
    <w:rsid w:val="4EAE2AB1"/>
    <w:rsid w:val="4F1E66C4"/>
    <w:rsid w:val="4F2E6896"/>
    <w:rsid w:val="4F716E29"/>
    <w:rsid w:val="4F9E12BA"/>
    <w:rsid w:val="5036356C"/>
    <w:rsid w:val="5097119E"/>
    <w:rsid w:val="50D115EB"/>
    <w:rsid w:val="510F5508"/>
    <w:rsid w:val="51293854"/>
    <w:rsid w:val="519C184E"/>
    <w:rsid w:val="51A3013B"/>
    <w:rsid w:val="51A810BE"/>
    <w:rsid w:val="51B96812"/>
    <w:rsid w:val="51C04F52"/>
    <w:rsid w:val="51E15BFC"/>
    <w:rsid w:val="52BA4C86"/>
    <w:rsid w:val="52FE4D9A"/>
    <w:rsid w:val="533D05AF"/>
    <w:rsid w:val="540F46E2"/>
    <w:rsid w:val="54D42D7E"/>
    <w:rsid w:val="552B3E4D"/>
    <w:rsid w:val="55970279"/>
    <w:rsid w:val="55B93306"/>
    <w:rsid w:val="55EC6903"/>
    <w:rsid w:val="565E0343"/>
    <w:rsid w:val="568F6777"/>
    <w:rsid w:val="56A40ADD"/>
    <w:rsid w:val="56CF4370"/>
    <w:rsid w:val="576C456E"/>
    <w:rsid w:val="577F15E5"/>
    <w:rsid w:val="57BE62A5"/>
    <w:rsid w:val="57F86D1F"/>
    <w:rsid w:val="57F91441"/>
    <w:rsid w:val="57FF212E"/>
    <w:rsid w:val="581445A2"/>
    <w:rsid w:val="5821650F"/>
    <w:rsid w:val="582D1D14"/>
    <w:rsid w:val="58435B7E"/>
    <w:rsid w:val="58576D05"/>
    <w:rsid w:val="58703581"/>
    <w:rsid w:val="589F6189"/>
    <w:rsid w:val="58B6350F"/>
    <w:rsid w:val="58DA3210"/>
    <w:rsid w:val="5938531B"/>
    <w:rsid w:val="59435260"/>
    <w:rsid w:val="59821673"/>
    <w:rsid w:val="59910DEA"/>
    <w:rsid w:val="5A65093E"/>
    <w:rsid w:val="5A6D2580"/>
    <w:rsid w:val="5A73324E"/>
    <w:rsid w:val="5A757597"/>
    <w:rsid w:val="5AA414F6"/>
    <w:rsid w:val="5AC007BE"/>
    <w:rsid w:val="5AD62A09"/>
    <w:rsid w:val="5AE135D0"/>
    <w:rsid w:val="5B295581"/>
    <w:rsid w:val="5B6B2DA0"/>
    <w:rsid w:val="5B8167E8"/>
    <w:rsid w:val="5BB343AD"/>
    <w:rsid w:val="5BE11F49"/>
    <w:rsid w:val="5C354BF3"/>
    <w:rsid w:val="5C4936FC"/>
    <w:rsid w:val="5C4C6070"/>
    <w:rsid w:val="5C515A48"/>
    <w:rsid w:val="5C6314DB"/>
    <w:rsid w:val="5C760AAF"/>
    <w:rsid w:val="5CA729BF"/>
    <w:rsid w:val="5CAA2084"/>
    <w:rsid w:val="5CE31A89"/>
    <w:rsid w:val="5D241CC0"/>
    <w:rsid w:val="5D530679"/>
    <w:rsid w:val="5D5472D5"/>
    <w:rsid w:val="5DF51BE9"/>
    <w:rsid w:val="5E0B673B"/>
    <w:rsid w:val="5E0F37AA"/>
    <w:rsid w:val="5E23536A"/>
    <w:rsid w:val="5E2868D1"/>
    <w:rsid w:val="5E5A71A0"/>
    <w:rsid w:val="5E84321F"/>
    <w:rsid w:val="5EAC2DD7"/>
    <w:rsid w:val="5ECE36C9"/>
    <w:rsid w:val="5F365B59"/>
    <w:rsid w:val="5FAE2043"/>
    <w:rsid w:val="5FAE3105"/>
    <w:rsid w:val="5FBE3C46"/>
    <w:rsid w:val="5FE4222A"/>
    <w:rsid w:val="60596854"/>
    <w:rsid w:val="60775183"/>
    <w:rsid w:val="6082518F"/>
    <w:rsid w:val="60A73861"/>
    <w:rsid w:val="61575459"/>
    <w:rsid w:val="617E5FD1"/>
    <w:rsid w:val="619D7F9F"/>
    <w:rsid w:val="61B06DCA"/>
    <w:rsid w:val="61E94109"/>
    <w:rsid w:val="61F908EC"/>
    <w:rsid w:val="625F7286"/>
    <w:rsid w:val="63254BA7"/>
    <w:rsid w:val="63450A73"/>
    <w:rsid w:val="634D6810"/>
    <w:rsid w:val="63E21DEC"/>
    <w:rsid w:val="64190BEB"/>
    <w:rsid w:val="641A2277"/>
    <w:rsid w:val="64470673"/>
    <w:rsid w:val="64560FF3"/>
    <w:rsid w:val="646049F7"/>
    <w:rsid w:val="64612DFA"/>
    <w:rsid w:val="64704E5F"/>
    <w:rsid w:val="6477741F"/>
    <w:rsid w:val="648928EE"/>
    <w:rsid w:val="64C46B40"/>
    <w:rsid w:val="64E8656F"/>
    <w:rsid w:val="65524FB8"/>
    <w:rsid w:val="65644FF5"/>
    <w:rsid w:val="65F95966"/>
    <w:rsid w:val="66103F76"/>
    <w:rsid w:val="6648290F"/>
    <w:rsid w:val="66760FD3"/>
    <w:rsid w:val="668815A5"/>
    <w:rsid w:val="668B1C71"/>
    <w:rsid w:val="66EA5505"/>
    <w:rsid w:val="66EC4905"/>
    <w:rsid w:val="670D6B70"/>
    <w:rsid w:val="6713322D"/>
    <w:rsid w:val="67497513"/>
    <w:rsid w:val="679E6031"/>
    <w:rsid w:val="67A212BF"/>
    <w:rsid w:val="67D6059D"/>
    <w:rsid w:val="68364C23"/>
    <w:rsid w:val="684F2507"/>
    <w:rsid w:val="686C40B3"/>
    <w:rsid w:val="68AB4CB4"/>
    <w:rsid w:val="68C42614"/>
    <w:rsid w:val="691F350C"/>
    <w:rsid w:val="69246E64"/>
    <w:rsid w:val="694B232B"/>
    <w:rsid w:val="6971413A"/>
    <w:rsid w:val="69A75B6D"/>
    <w:rsid w:val="6A1D468D"/>
    <w:rsid w:val="6A304B3C"/>
    <w:rsid w:val="6A3310EE"/>
    <w:rsid w:val="6A4F4594"/>
    <w:rsid w:val="6A710615"/>
    <w:rsid w:val="6B4B054E"/>
    <w:rsid w:val="6B8140CE"/>
    <w:rsid w:val="6BD65F02"/>
    <w:rsid w:val="6BE0352A"/>
    <w:rsid w:val="6C2D33D2"/>
    <w:rsid w:val="6C530B92"/>
    <w:rsid w:val="6C571E4A"/>
    <w:rsid w:val="6C671014"/>
    <w:rsid w:val="6C8F0A98"/>
    <w:rsid w:val="6CB71E26"/>
    <w:rsid w:val="6D1940FB"/>
    <w:rsid w:val="6D3F37BE"/>
    <w:rsid w:val="6D4C135B"/>
    <w:rsid w:val="6D6E460B"/>
    <w:rsid w:val="6E257D7A"/>
    <w:rsid w:val="6E4F2832"/>
    <w:rsid w:val="6E982F95"/>
    <w:rsid w:val="6EA44DEF"/>
    <w:rsid w:val="6EC63C36"/>
    <w:rsid w:val="6F11138A"/>
    <w:rsid w:val="6F305408"/>
    <w:rsid w:val="6F632835"/>
    <w:rsid w:val="6F753F20"/>
    <w:rsid w:val="707358D4"/>
    <w:rsid w:val="707D36E5"/>
    <w:rsid w:val="70AB3795"/>
    <w:rsid w:val="70B6353B"/>
    <w:rsid w:val="70D83839"/>
    <w:rsid w:val="714954A4"/>
    <w:rsid w:val="715A6EF3"/>
    <w:rsid w:val="71775D23"/>
    <w:rsid w:val="71EA51AB"/>
    <w:rsid w:val="71F975CC"/>
    <w:rsid w:val="727C6C4A"/>
    <w:rsid w:val="72987C8D"/>
    <w:rsid w:val="737936FE"/>
    <w:rsid w:val="73BF4B35"/>
    <w:rsid w:val="743D0CB3"/>
    <w:rsid w:val="744D4986"/>
    <w:rsid w:val="74E740DC"/>
    <w:rsid w:val="751229C7"/>
    <w:rsid w:val="752D45F0"/>
    <w:rsid w:val="7609632E"/>
    <w:rsid w:val="7610786E"/>
    <w:rsid w:val="76754FA2"/>
    <w:rsid w:val="76B26378"/>
    <w:rsid w:val="76CC564E"/>
    <w:rsid w:val="776D1554"/>
    <w:rsid w:val="778F47BB"/>
    <w:rsid w:val="779C16C9"/>
    <w:rsid w:val="77A54ADA"/>
    <w:rsid w:val="78276457"/>
    <w:rsid w:val="782C0FF4"/>
    <w:rsid w:val="7855503D"/>
    <w:rsid w:val="78862344"/>
    <w:rsid w:val="789F7A60"/>
    <w:rsid w:val="78CE7F27"/>
    <w:rsid w:val="78D43FE0"/>
    <w:rsid w:val="78E02CD0"/>
    <w:rsid w:val="79AD471D"/>
    <w:rsid w:val="79D02C7F"/>
    <w:rsid w:val="79DD7DF2"/>
    <w:rsid w:val="79F70856"/>
    <w:rsid w:val="7A4B5175"/>
    <w:rsid w:val="7A6B12A6"/>
    <w:rsid w:val="7AC05D51"/>
    <w:rsid w:val="7AC520C2"/>
    <w:rsid w:val="7B1C23A5"/>
    <w:rsid w:val="7B1F52AB"/>
    <w:rsid w:val="7B2C4AE5"/>
    <w:rsid w:val="7B326E42"/>
    <w:rsid w:val="7B504B4E"/>
    <w:rsid w:val="7B746D2D"/>
    <w:rsid w:val="7BB339E4"/>
    <w:rsid w:val="7BBC462E"/>
    <w:rsid w:val="7C51605C"/>
    <w:rsid w:val="7C9C714E"/>
    <w:rsid w:val="7D2F1950"/>
    <w:rsid w:val="7D9C454B"/>
    <w:rsid w:val="7DF630DE"/>
    <w:rsid w:val="7DFF26AA"/>
    <w:rsid w:val="7E0250FE"/>
    <w:rsid w:val="7E0E1E57"/>
    <w:rsid w:val="7E441727"/>
    <w:rsid w:val="7E470BCC"/>
    <w:rsid w:val="7E4D7BD4"/>
    <w:rsid w:val="7E5D1445"/>
    <w:rsid w:val="7EDF5137"/>
    <w:rsid w:val="7F152A17"/>
    <w:rsid w:val="7F1B080A"/>
    <w:rsid w:val="7F2B50A1"/>
    <w:rsid w:val="7F6B08E3"/>
    <w:rsid w:val="7FB76E8B"/>
    <w:rsid w:val="7FEB0E56"/>
    <w:rsid w:val="7FF730F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toc 1"/>
    <w:basedOn w:val="1"/>
    <w:next w:val="1"/>
    <w:unhideWhenUsed/>
    <w:qFormat/>
    <w:uiPriority w:val="39"/>
  </w:style>
  <w:style w:type="paragraph" w:styleId="9">
    <w:name w:val="toc 2"/>
    <w:basedOn w:val="1"/>
    <w:next w:val="1"/>
    <w:semiHidden/>
    <w:unhideWhenUsed/>
    <w:qFormat/>
    <w:uiPriority w:val="39"/>
    <w:pPr>
      <w:ind w:left="420" w:leftChars="200"/>
    </w:pPr>
  </w:style>
  <w:style w:type="paragraph" w:styleId="10">
    <w:name w:val="header"/>
    <w:basedOn w:val="1"/>
    <w:link w:val="14"/>
    <w:unhideWhenUsed/>
    <w:qFormat/>
    <w:uiPriority w:val="99"/>
    <w:pPr>
      <w:tabs>
        <w:tab w:val="center" w:pos="4419"/>
        <w:tab w:val="right" w:pos="8838"/>
      </w:tabs>
      <w:spacing w:after="0" w:line="240" w:lineRule="auto"/>
    </w:pPr>
  </w:style>
  <w:style w:type="paragraph" w:styleId="11">
    <w:name w:val="footer"/>
    <w:basedOn w:val="1"/>
    <w:link w:val="15"/>
    <w:unhideWhenUsed/>
    <w:qFormat/>
    <w:uiPriority w:val="99"/>
    <w:pPr>
      <w:tabs>
        <w:tab w:val="center" w:pos="4419"/>
        <w:tab w:val="right" w:pos="8838"/>
      </w:tabs>
      <w:spacing w:after="0" w:line="240" w:lineRule="auto"/>
    </w:pPr>
  </w:style>
  <w:style w:type="paragraph" w:styleId="12">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0"/>
    <w:qFormat/>
    <w:uiPriority w:val="99"/>
  </w:style>
  <w:style w:type="character" w:customStyle="1" w:styleId="15">
    <w:name w:val="Pie de página Car"/>
    <w:basedOn w:val="5"/>
    <w:link w:val="11"/>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2"/>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1</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2021-10-13T21:08:06Z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