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Generales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hint="default" w:ascii="Arial" w:hAnsi="Arial" w:eastAsia="SimSun" w:cs="Arial"/>
          <w:sz w:val="24"/>
          <w:szCs w:val="24"/>
          <w:lang w:val="es-CO" w:eastAsia="en-US" w:bidi="ar-SA"/>
        </w:rPr>
        <w:id w:val="147479199"/>
        <w15:color w:val="DBDBDB"/>
        <w:docPartObj>
          <w:docPartGallery w:val="Table of Contents"/>
          <w:docPartUnique/>
        </w:docPartObj>
      </w:sdtPr>
      <w:sdtEndPr>
        <w:rPr>
          <w:rFonts w:hint="default"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rPr>
              <w:rFonts w:hint="default" w:ascii="Arial" w:hAnsi="Arial" w:cs="Arial"/>
              <w:sz w:val="24"/>
              <w:szCs w:val="24"/>
            </w:rPr>
          </w:pPr>
        </w:p>
        <w:p>
          <w:pPr>
            <w:pStyle w:val="8"/>
            <w:tabs>
              <w:tab w:val="right" w:leader="dot" w:pos="10800"/>
            </w:tabs>
            <w:rPr>
              <w:rFonts w:hint="default" w:ascii="Arial" w:hAnsi="Arial" w:cs="Arial"/>
              <w:sz w:val="24"/>
              <w:szCs w:val="24"/>
            </w:rPr>
          </w:pPr>
          <w:bookmarkStart w:id="14" w:name="_GoBack"/>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_Toc4080 </w:instrText>
          </w:r>
          <w:r>
            <w:rPr>
              <w:rFonts w:hint="default" w:ascii="Arial" w:hAnsi="Arial" w:cs="Arial"/>
              <w:sz w:val="24"/>
              <w:szCs w:val="24"/>
            </w:rPr>
            <w:fldChar w:fldCharType="separate"/>
          </w:r>
          <w:r>
            <w:rPr>
              <w:rFonts w:hint="default" w:ascii="Arial" w:hAnsi="Arial" w:cs="Arial"/>
              <w:bCs/>
              <w:sz w:val="24"/>
              <w:szCs w:val="24"/>
            </w:rPr>
            <w:t xml:space="preserve">1. </w:t>
          </w:r>
          <w:r>
            <w:rPr>
              <w:rFonts w:hint="default" w:ascii="Arial" w:hAnsi="Arial" w:cs="Arial"/>
              <w:sz w:val="24"/>
              <w:szCs w:val="24"/>
              <w:lang w:val="es-CO"/>
            </w:rPr>
            <w:t>GENERALES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_Toc4080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_Toc11409 </w:instrText>
          </w:r>
          <w:r>
            <w:rPr>
              <w:rFonts w:hint="default" w:ascii="Arial" w:hAnsi="Arial" w:cs="Arial"/>
              <w:sz w:val="24"/>
              <w:szCs w:val="24"/>
            </w:rPr>
            <w:fldChar w:fldCharType="separate"/>
          </w:r>
          <w:r>
            <w:rPr>
              <w:rFonts w:hint="default" w:ascii="Arial" w:hAnsi="Arial" w:cs="Arial"/>
              <w:sz w:val="24"/>
              <w:szCs w:val="24"/>
              <w:lang w:val="es-CO"/>
            </w:rPr>
            <w:t>1.1. Generales Listado de Esquema Tarifario</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_Toc11409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_Toc16372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_Toc16372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_Toc17707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_Toc17707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_Toc17875 </w:instrText>
          </w:r>
          <w:r>
            <w:rPr>
              <w:rFonts w:hint="default" w:ascii="Arial" w:hAnsi="Arial" w:cs="Arial"/>
              <w:sz w:val="24"/>
              <w:szCs w:val="24"/>
            </w:rPr>
            <w:fldChar w:fldCharType="separate"/>
          </w:r>
          <w:r>
            <w:rPr>
              <w:rFonts w:hint="default" w:ascii="Arial" w:hAnsi="Arial" w:cs="Arial"/>
              <w:sz w:val="24"/>
              <w:szCs w:val="24"/>
              <w:lang w:val="es-CO"/>
            </w:rPr>
            <w:t>1.2. Consulta de Terceros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_Toc17875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_Toc26530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_Toc26530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_Toc22735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_Toc22735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_Toc31660 </w:instrText>
          </w:r>
          <w:r>
            <w:rPr>
              <w:rFonts w:hint="default" w:ascii="Arial" w:hAnsi="Arial" w:cs="Arial"/>
              <w:sz w:val="24"/>
              <w:szCs w:val="24"/>
            </w:rPr>
            <w:fldChar w:fldCharType="separate"/>
          </w:r>
          <w:r>
            <w:rPr>
              <w:rFonts w:hint="default" w:ascii="Arial" w:hAnsi="Arial" w:cs="Arial"/>
              <w:sz w:val="24"/>
              <w:szCs w:val="24"/>
              <w:lang w:val="es-CO"/>
            </w:rPr>
            <w:t>1.3. Consulta de Documentos de Terceros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_Toc31660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_Toc342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_Toc342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_Toc29002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_Toc29002 \h </w:instrText>
          </w:r>
          <w:r>
            <w:rPr>
              <w:rFonts w:hint="default" w:ascii="Arial" w:hAnsi="Arial" w:cs="Arial"/>
              <w:sz w:val="24"/>
              <w:szCs w:val="24"/>
            </w:rPr>
            <w:fldChar w:fldCharType="separate"/>
          </w:r>
          <w:r>
            <w:rPr>
              <w:rFonts w:hint="default" w:ascii="Arial" w:hAnsi="Arial" w:cs="Arial"/>
              <w:sz w:val="24"/>
              <w:szCs w:val="24"/>
            </w:rPr>
            <w:t>9</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bookmarkEnd w:id="14"/>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ascii="Arial" w:hAnsi="Arial"/>
          <w:sz w:val="24"/>
          <w:szCs w:val="24"/>
        </w:rPr>
      </w:pPr>
      <w:bookmarkStart w:id="0" w:name="_Toc4080"/>
      <w:r>
        <w:rPr>
          <w:rFonts w:hint="default"/>
          <w:sz w:val="24"/>
          <w:szCs w:val="24"/>
          <w:lang w:val="es-CO"/>
        </w:rPr>
        <w:t>GENERALES</w:t>
      </w:r>
      <w:bookmarkEnd w:id="0"/>
    </w:p>
    <w:p>
      <w:pPr>
        <w:spacing w:after="0" w:line="360" w:lineRule="auto"/>
        <w:jc w:val="both"/>
        <w:rPr>
          <w:rFonts w:hint="default" w:ascii="Arial" w:hAnsi="Arial" w:cs="Arial"/>
          <w:sz w:val="24"/>
          <w:szCs w:val="24"/>
          <w:lang w:val="es-CO"/>
        </w:rPr>
      </w:pPr>
      <w:bookmarkStart w:id="1" w:name="_Toc31639"/>
      <w:r>
        <w:rPr>
          <w:rFonts w:hint="default" w:ascii="Arial" w:hAnsi="Arial" w:cs="Arial"/>
          <w:sz w:val="24"/>
          <w:szCs w:val="24"/>
          <w:lang w:val="es-CO"/>
        </w:rPr>
        <w:t xml:space="preserve">A </w:t>
      </w:r>
      <w:r>
        <w:rPr>
          <w:rFonts w:ascii="Arial" w:hAnsi="Arial" w:cs="Arial"/>
          <w:sz w:val="24"/>
          <w:szCs w:val="24"/>
        </w:rPr>
        <w:t>través de la siguiente funcionalidad,</w:t>
      </w:r>
      <w:r>
        <w:rPr>
          <w:rFonts w:hint="default" w:ascii="Arial" w:hAnsi="Arial" w:cs="Arial"/>
          <w:sz w:val="24"/>
          <w:szCs w:val="24"/>
          <w:lang w:val="es-CO"/>
        </w:rPr>
        <w:t xml:space="preserve"> se podrá generar reportes de los diferentes procesos que pueden realizarse y que se han realizado en el sistema.</w:t>
      </w:r>
    </w:p>
    <w:p>
      <w:pPr>
        <w:spacing w:after="0" w:line="360" w:lineRule="auto"/>
        <w:jc w:val="both"/>
        <w:rPr>
          <w:rFonts w:hint="default" w:ascii="Arial" w:hAnsi="Arial" w:cs="Arial"/>
          <w:sz w:val="24"/>
          <w:szCs w:val="24"/>
          <w:lang w:val="es-CO"/>
        </w:rPr>
      </w:pPr>
    </w:p>
    <w:p>
      <w:pPr>
        <w:pStyle w:val="3"/>
        <w:numPr>
          <w:ilvl w:val="1"/>
          <w:numId w:val="1"/>
        </w:numPr>
        <w:spacing w:before="0"/>
        <w:rPr>
          <w:rFonts w:hint="default" w:cs="Arial"/>
          <w:szCs w:val="24"/>
          <w:lang w:val="es-CO"/>
        </w:rPr>
      </w:pPr>
      <w:bookmarkStart w:id="2" w:name="_Toc11409"/>
      <w:r>
        <w:rPr>
          <w:rFonts w:hint="default" w:cs="Arial"/>
          <w:szCs w:val="24"/>
          <w:lang w:val="es-CO"/>
        </w:rPr>
        <w:t>Generales Listado de Esquema Tarifario</w:t>
      </w:r>
      <w:bookmarkEnd w:id="2"/>
      <w:r>
        <w:rPr>
          <w:rFonts w:hint="default" w:cs="Arial"/>
          <w:szCs w:val="24"/>
          <w:lang w:val="es-CO"/>
        </w:rPr>
        <w:t xml:space="preserve"> </w:t>
      </w:r>
      <w:bookmarkEnd w:id="1"/>
    </w:p>
    <w:p>
      <w:pPr>
        <w:pStyle w:val="3"/>
        <w:spacing w:before="0"/>
        <w:rPr>
          <w:rFonts w:cs="Arial"/>
          <w:szCs w:val="24"/>
        </w:rPr>
      </w:pPr>
      <w:bookmarkStart w:id="3" w:name="_Toc76995127"/>
      <w:bookmarkStart w:id="4" w:name="_Toc31843"/>
      <w:bookmarkStart w:id="5" w:name="_Toc16372"/>
      <w:r>
        <w:rPr>
          <w:rFonts w:cs="Arial"/>
          <w:szCs w:val="24"/>
        </w:rPr>
        <w:t>1.1.1. Acceso a la opción</w:t>
      </w:r>
      <w:bookmarkEnd w:id="3"/>
      <w:bookmarkEnd w:id="4"/>
      <w:bookmarkEnd w:id="5"/>
      <w:r>
        <w:rPr>
          <w:rFonts w:cs="Arial"/>
          <w:szCs w:val="24"/>
        </w:rPr>
        <w:t xml:space="preserve"> </w:t>
      </w:r>
    </w:p>
    <w:p>
      <w:pPr>
        <w:pStyle w:val="24"/>
        <w:ind w:left="0"/>
        <w:rPr>
          <w:rFonts w:hint="default" w:ascii="Arial" w:hAnsi="Arial" w:cs="Arial"/>
          <w:color w:val="auto"/>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Reportes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Generales </w:t>
      </w:r>
      <w:r>
        <w:rPr>
          <w:rStyle w:val="25"/>
          <w:rFonts w:hint="default" w:ascii="Arial" w:hAnsi="Arial" w:cs="Arial"/>
          <w:color w:val="auto"/>
          <w:sz w:val="24"/>
          <w:szCs w:val="24"/>
          <w:lang w:val="es-CO"/>
        </w:rPr>
        <w:t xml:space="preserve">y por último hacer doble clic en </w:t>
      </w:r>
      <w:r>
        <w:rPr>
          <w:rStyle w:val="25"/>
          <w:rFonts w:hint="default" w:ascii="Arial" w:hAnsi="Arial" w:cs="Arial"/>
          <w:color w:val="0047AC"/>
          <w:sz w:val="24"/>
          <w:szCs w:val="24"/>
          <w:lang w:val="es-CO"/>
        </w:rPr>
        <w:t>Generales Listado Esquema Tarifario</w:t>
      </w:r>
    </w:p>
    <w:p>
      <w:pPr>
        <w:rPr>
          <w:rFonts w:hint="default"/>
          <w:lang w:val="es-CO" w:eastAsia="zh-CN"/>
        </w:rPr>
      </w:pPr>
    </w:p>
    <w:p>
      <w:pPr>
        <w:jc w:val="center"/>
      </w:pPr>
      <w:r>
        <w:drawing>
          <wp:inline distT="0" distB="0" distL="114300" distR="114300">
            <wp:extent cx="3973195" cy="772795"/>
            <wp:effectExtent l="9525" t="9525" r="17780" b="17780"/>
            <wp:docPr id="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1"/>
                    <pic:cNvPicPr>
                      <a:picLocks noChangeAspect="1"/>
                    </pic:cNvPicPr>
                  </pic:nvPicPr>
                  <pic:blipFill>
                    <a:blip r:embed="rId9"/>
                    <a:stretch>
                      <a:fillRect/>
                    </a:stretch>
                  </pic:blipFill>
                  <pic:spPr>
                    <a:xfrm>
                      <a:off x="0" y="0"/>
                      <a:ext cx="3973195" cy="7727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Generales Listado de Esquema Tarifario</w:t>
      </w:r>
    </w:p>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379210" cy="3930015"/>
            <wp:effectExtent l="9525" t="9525" r="12065" b="22860"/>
            <wp:docPr id="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2"/>
                    <pic:cNvPicPr>
                      <a:picLocks noChangeAspect="1"/>
                    </pic:cNvPicPr>
                  </pic:nvPicPr>
                  <pic:blipFill>
                    <a:blip r:embed="rId10"/>
                    <a:stretch>
                      <a:fillRect/>
                    </a:stretch>
                  </pic:blipFill>
                  <pic:spPr>
                    <a:xfrm>
                      <a:off x="0" y="0"/>
                      <a:ext cx="6379210" cy="393001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Generales Listado de Esquema Tarifario</w:t>
      </w:r>
    </w:p>
    <w:p>
      <w:pPr>
        <w:pStyle w:val="3"/>
        <w:spacing w:before="0"/>
      </w:pPr>
      <w:bookmarkStart w:id="6" w:name="_Toc31078"/>
      <w:bookmarkStart w:id="7" w:name="_Toc17707"/>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spacing w:beforeLines="0" w:afterLines="0" w:line="360" w:lineRule="auto"/>
        <w:jc w:val="both"/>
        <w:rPr>
          <w:rFonts w:hint="default"/>
          <w:lang w:val="es-CO"/>
        </w:rPr>
      </w:pPr>
      <w:r>
        <w:rPr>
          <w:rFonts w:hint="default" w:ascii="Arial" w:hAnsi="Arial"/>
          <w:i w:val="0"/>
          <w:iCs w:val="0"/>
          <w:color w:val="auto"/>
          <w:sz w:val="24"/>
          <w:szCs w:val="24"/>
          <w:lang w:val="es-CO" w:eastAsia="zh-CN"/>
        </w:rPr>
        <w:t xml:space="preserve">Para generar el reporte del esquema tarifario se debe ingresar la vigencia y periodo de liquidación para el cual se desea generar el reporte del esquema tarifario y dar clic en el botón </w:t>
      </w:r>
      <w:r>
        <w:drawing>
          <wp:inline distT="0" distB="0" distL="114300" distR="114300">
            <wp:extent cx="1266825" cy="228600"/>
            <wp:effectExtent l="0" t="0" r="9525" b="0"/>
            <wp:docPr id="9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n 3"/>
                    <pic:cNvPicPr>
                      <a:picLocks noChangeAspect="1"/>
                    </pic:cNvPicPr>
                  </pic:nvPicPr>
                  <pic:blipFill>
                    <a:blip r:embed="rId11"/>
                    <a:stretch>
                      <a:fillRect/>
                    </a:stretch>
                  </pic:blipFill>
                  <pic:spPr>
                    <a:xfrm>
                      <a:off x="0" y="0"/>
                      <a:ext cx="1266825" cy="228600"/>
                    </a:xfrm>
                    <a:prstGeom prst="rect">
                      <a:avLst/>
                    </a:prstGeom>
                    <a:noFill/>
                    <a:ln>
                      <a:noFill/>
                    </a:ln>
                  </pic:spPr>
                </pic:pic>
              </a:graphicData>
            </a:graphic>
          </wp:inline>
        </w:drawing>
      </w:r>
      <w:r>
        <w:rPr>
          <w:rFonts w:hint="default"/>
          <w:lang w:val="es-CO"/>
        </w:rPr>
        <w:t>.</w:t>
      </w:r>
    </w:p>
    <w:p>
      <w:pPr>
        <w:spacing w:beforeLines="0" w:afterLines="0" w:line="360" w:lineRule="auto"/>
        <w:jc w:val="both"/>
        <w:rPr>
          <w:rFonts w:hint="default"/>
          <w:lang w:val="es-CO"/>
        </w:rPr>
      </w:pPr>
    </w:p>
    <w:p>
      <w:pPr>
        <w:spacing w:beforeLines="0" w:afterLines="0" w:line="360" w:lineRule="auto"/>
        <w:jc w:val="center"/>
      </w:pPr>
      <w:r>
        <w:drawing>
          <wp:inline distT="0" distB="0" distL="114300" distR="114300">
            <wp:extent cx="3618230" cy="400050"/>
            <wp:effectExtent l="9525" t="9525" r="10795" b="9525"/>
            <wp:docPr id="9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4"/>
                    <pic:cNvPicPr>
                      <a:picLocks noChangeAspect="1"/>
                    </pic:cNvPicPr>
                  </pic:nvPicPr>
                  <pic:blipFill>
                    <a:blip r:embed="rId12"/>
                    <a:stretch>
                      <a:fillRect/>
                    </a:stretch>
                  </pic:blipFill>
                  <pic:spPr>
                    <a:xfrm>
                      <a:off x="0" y="0"/>
                      <a:ext cx="3618230" cy="40005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Vigencia</w:t>
      </w:r>
    </w:p>
    <w:p>
      <w:pPr>
        <w:spacing w:beforeLines="0" w:afterLines="0" w:line="360" w:lineRule="auto"/>
        <w:jc w:val="both"/>
        <w:rPr>
          <w:rFonts w:hint="default"/>
          <w:lang w:val="es-CO" w:eastAsia="zh-CN"/>
        </w:rPr>
      </w:pPr>
    </w:p>
    <w:p>
      <w:pPr>
        <w:spacing w:beforeLines="0" w:afterLines="0" w:line="360" w:lineRule="auto"/>
        <w:jc w:val="center"/>
      </w:pPr>
      <w:r>
        <w:drawing>
          <wp:inline distT="0" distB="0" distL="114300" distR="114300">
            <wp:extent cx="5318125" cy="433070"/>
            <wp:effectExtent l="9525" t="9525" r="25400" b="14605"/>
            <wp:docPr id="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5"/>
                    <pic:cNvPicPr>
                      <a:picLocks noChangeAspect="1"/>
                    </pic:cNvPicPr>
                  </pic:nvPicPr>
                  <pic:blipFill>
                    <a:blip r:embed="rId13"/>
                    <a:stretch>
                      <a:fillRect/>
                    </a:stretch>
                  </pic:blipFill>
                  <pic:spPr>
                    <a:xfrm>
                      <a:off x="0" y="0"/>
                      <a:ext cx="5318125" cy="43307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Periodo Liquidación</w:t>
      </w:r>
    </w:p>
    <w:p>
      <w:pPr>
        <w:spacing w:beforeLines="0" w:afterLines="0" w:line="360" w:lineRule="auto"/>
        <w:jc w:val="both"/>
        <w:rPr>
          <w:rFonts w:hint="default"/>
          <w:lang w:val="es-CO" w:eastAsia="zh-CN"/>
        </w:rPr>
      </w:pPr>
    </w:p>
    <w:p>
      <w:pPr>
        <w:spacing w:beforeLines="0" w:afterLines="0" w:line="360" w:lineRule="auto"/>
        <w:jc w:val="both"/>
        <w:rPr>
          <w:rFonts w:hint="default"/>
          <w:lang w:val="es-CO"/>
        </w:rPr>
      </w:pPr>
      <w:r>
        <w:rPr>
          <w:rFonts w:hint="default" w:ascii="Arial" w:hAnsi="Arial" w:cs="Arial"/>
          <w:sz w:val="24"/>
          <w:szCs w:val="24"/>
          <w:lang w:val="es-CO" w:eastAsia="zh-CN"/>
        </w:rPr>
        <w:t xml:space="preserve">Luego de haber dado clic en el botón para generar el reporte se visualizará un mensaje solicitando la confirmación de la generación del reporte, para continuar con el proceso se debe dar clic en el botón </w:t>
      </w:r>
      <w:r>
        <w:drawing>
          <wp:inline distT="0" distB="0" distL="114300" distR="114300">
            <wp:extent cx="552450" cy="247650"/>
            <wp:effectExtent l="0" t="0" r="0" b="0"/>
            <wp:docPr id="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6"/>
                    <pic:cNvPicPr>
                      <a:picLocks noChangeAspect="1"/>
                    </pic:cNvPicPr>
                  </pic:nvPicPr>
                  <pic:blipFill>
                    <a:blip r:embed="rId14"/>
                    <a:stretch>
                      <a:fillRect/>
                    </a:stretch>
                  </pic:blipFill>
                  <pic:spPr>
                    <a:xfrm>
                      <a:off x="0" y="0"/>
                      <a:ext cx="552450" cy="247650"/>
                    </a:xfrm>
                    <a:prstGeom prst="rect">
                      <a:avLst/>
                    </a:prstGeom>
                    <a:noFill/>
                    <a:ln>
                      <a:noFill/>
                    </a:ln>
                  </pic:spPr>
                </pic:pic>
              </a:graphicData>
            </a:graphic>
          </wp:inline>
        </w:drawing>
      </w:r>
      <w:r>
        <w:rPr>
          <w:rFonts w:hint="default"/>
          <w:lang w:val="es-CO"/>
        </w:rPr>
        <w:t>.</w:t>
      </w:r>
    </w:p>
    <w:p>
      <w:pPr>
        <w:spacing w:beforeLines="0" w:afterLines="0" w:line="360" w:lineRule="auto"/>
        <w:jc w:val="both"/>
        <w:rPr>
          <w:rFonts w:hint="default"/>
          <w:lang w:val="es-CO"/>
        </w:rPr>
      </w:pPr>
    </w:p>
    <w:p>
      <w:pPr>
        <w:spacing w:beforeLines="0" w:afterLines="0" w:line="360" w:lineRule="auto"/>
        <w:jc w:val="center"/>
      </w:pPr>
      <w:r>
        <w:drawing>
          <wp:inline distT="0" distB="0" distL="114300" distR="114300">
            <wp:extent cx="6969760" cy="2653665"/>
            <wp:effectExtent l="9525" t="9525" r="12065" b="22860"/>
            <wp:docPr id="9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n 7"/>
                    <pic:cNvPicPr>
                      <a:picLocks noChangeAspect="1"/>
                    </pic:cNvPicPr>
                  </pic:nvPicPr>
                  <pic:blipFill>
                    <a:blip r:embed="rId15"/>
                    <a:stretch>
                      <a:fillRect/>
                    </a:stretch>
                  </pic:blipFill>
                  <pic:spPr>
                    <a:xfrm>
                      <a:off x="0" y="0"/>
                      <a:ext cx="6969760" cy="265366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5 Mensaje de Confirmación</w:t>
      </w:r>
    </w:p>
    <w:p>
      <w:pPr>
        <w:spacing w:beforeLines="0" w:afterLines="0" w:line="360" w:lineRule="auto"/>
        <w:jc w:val="both"/>
        <w:rPr>
          <w:rFonts w:hint="default" w:ascii="Arial" w:hAnsi="Arial" w:cs="Arial"/>
          <w:sz w:val="24"/>
          <w:szCs w:val="24"/>
          <w:lang w:val="es-CO" w:eastAsia="zh-CN"/>
        </w:rPr>
      </w:pPr>
      <w:r>
        <w:rPr>
          <w:rFonts w:hint="default" w:ascii="Arial" w:hAnsi="Arial" w:cs="Arial"/>
          <w:sz w:val="24"/>
          <w:szCs w:val="24"/>
          <w:lang w:val="es-CO" w:eastAsia="zh-CN"/>
        </w:rPr>
        <w:t xml:space="preserve">Después de haber realizado esto se visualizará una previsualización del reporte generado: </w:t>
      </w:r>
    </w:p>
    <w:p>
      <w:pPr>
        <w:spacing w:beforeLines="0" w:afterLines="0" w:line="360" w:lineRule="auto"/>
        <w:jc w:val="both"/>
        <w:rPr>
          <w:rFonts w:hint="default" w:ascii="Arial" w:hAnsi="Arial" w:cs="Arial"/>
          <w:sz w:val="24"/>
          <w:szCs w:val="24"/>
          <w:lang w:val="es-CO" w:eastAsia="zh-CN"/>
        </w:rPr>
      </w:pPr>
    </w:p>
    <w:p>
      <w:pPr>
        <w:spacing w:beforeLines="0" w:afterLines="0" w:line="360" w:lineRule="auto"/>
        <w:jc w:val="center"/>
        <w:rPr>
          <w:rFonts w:hint="default" w:ascii="Arial" w:hAnsi="Arial" w:cs="Arial"/>
          <w:sz w:val="24"/>
          <w:szCs w:val="24"/>
          <w:lang w:val="es-CO" w:eastAsia="zh-CN"/>
        </w:rPr>
      </w:pPr>
      <w:r>
        <w:drawing>
          <wp:inline distT="0" distB="0" distL="114300" distR="114300">
            <wp:extent cx="5790565" cy="4683125"/>
            <wp:effectExtent l="9525" t="9525" r="10160" b="12700"/>
            <wp:docPr id="9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n 8"/>
                    <pic:cNvPicPr>
                      <a:picLocks noChangeAspect="1"/>
                    </pic:cNvPicPr>
                  </pic:nvPicPr>
                  <pic:blipFill>
                    <a:blip r:embed="rId16"/>
                    <a:stretch>
                      <a:fillRect/>
                    </a:stretch>
                  </pic:blipFill>
                  <pic:spPr>
                    <a:xfrm>
                      <a:off x="0" y="0"/>
                      <a:ext cx="5790565" cy="468312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Reporte Generado</w:t>
      </w:r>
    </w:p>
    <w:p>
      <w:pPr>
        <w:spacing w:beforeLines="0" w:afterLines="0" w:line="360" w:lineRule="auto"/>
        <w:jc w:val="both"/>
        <w:rPr>
          <w:rFonts w:hint="default" w:ascii="Arial" w:hAnsi="Arial" w:cs="Arial"/>
          <w:sz w:val="24"/>
          <w:szCs w:val="24"/>
          <w:lang w:val="es-CO" w:eastAsia="zh-CN"/>
        </w:rPr>
      </w:pPr>
    </w:p>
    <w:p>
      <w:pPr>
        <w:pStyle w:val="3"/>
        <w:numPr>
          <w:ilvl w:val="1"/>
          <w:numId w:val="1"/>
        </w:numPr>
        <w:spacing w:before="0"/>
        <w:rPr>
          <w:rFonts w:hint="default" w:cs="Arial"/>
          <w:szCs w:val="24"/>
          <w:lang w:val="es-CO"/>
        </w:rPr>
      </w:pPr>
      <w:bookmarkStart w:id="8" w:name="_Toc17875"/>
      <w:r>
        <w:rPr>
          <w:rFonts w:hint="default" w:cs="Arial"/>
          <w:szCs w:val="24"/>
          <w:lang w:val="es-CO"/>
        </w:rPr>
        <w:t>Consulta de Terceros</w:t>
      </w:r>
      <w:bookmarkEnd w:id="8"/>
      <w:r>
        <w:rPr>
          <w:rFonts w:hint="default" w:cs="Arial"/>
          <w:szCs w:val="24"/>
          <w:lang w:val="es-CO"/>
        </w:rPr>
        <w:t xml:space="preserve"> </w:t>
      </w:r>
    </w:p>
    <w:p>
      <w:pPr>
        <w:pStyle w:val="3"/>
        <w:spacing w:before="0"/>
        <w:rPr>
          <w:rFonts w:cs="Arial"/>
          <w:szCs w:val="24"/>
        </w:rPr>
      </w:pPr>
      <w:bookmarkStart w:id="9" w:name="_Toc26530"/>
      <w:r>
        <w:rPr>
          <w:rFonts w:cs="Arial"/>
          <w:szCs w:val="24"/>
        </w:rPr>
        <w:t>1.</w:t>
      </w:r>
      <w:r>
        <w:rPr>
          <w:rFonts w:hint="default" w:cs="Arial"/>
          <w:szCs w:val="24"/>
          <w:lang w:val="es-CO"/>
        </w:rPr>
        <w:t>2</w:t>
      </w:r>
      <w:r>
        <w:rPr>
          <w:rFonts w:cs="Arial"/>
          <w:szCs w:val="24"/>
        </w:rPr>
        <w:t>.1. Acceso a la opción</w:t>
      </w:r>
      <w:bookmarkEnd w:id="9"/>
      <w:r>
        <w:rPr>
          <w:rFonts w:cs="Arial"/>
          <w:szCs w:val="24"/>
        </w:rPr>
        <w:t xml:space="preserve"> </w:t>
      </w:r>
    </w:p>
    <w:p>
      <w:pPr>
        <w:pStyle w:val="24"/>
        <w:ind w:left="0"/>
        <w:rPr>
          <w:rFonts w:hint="default" w:ascii="Arial" w:hAnsi="Arial" w:cs="Arial"/>
          <w:color w:val="auto"/>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Reportes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Generales </w:t>
      </w:r>
      <w:r>
        <w:rPr>
          <w:rStyle w:val="25"/>
          <w:rFonts w:hint="default" w:ascii="Arial" w:hAnsi="Arial" w:cs="Arial"/>
          <w:color w:val="auto"/>
          <w:sz w:val="24"/>
          <w:szCs w:val="24"/>
          <w:lang w:val="es-CO"/>
        </w:rPr>
        <w:t xml:space="preserve">y por último hacer doble clic en </w:t>
      </w:r>
      <w:r>
        <w:rPr>
          <w:rStyle w:val="25"/>
          <w:rFonts w:hint="default" w:ascii="Arial" w:hAnsi="Arial" w:cs="Arial"/>
          <w:color w:val="0047AC"/>
          <w:sz w:val="24"/>
          <w:szCs w:val="24"/>
          <w:lang w:val="es-CO"/>
        </w:rPr>
        <w:t>Consulta de Terceros</w:t>
      </w:r>
    </w:p>
    <w:p>
      <w:pPr>
        <w:spacing w:beforeLines="0" w:afterLines="0" w:line="360" w:lineRule="auto"/>
        <w:jc w:val="both"/>
        <w:rPr>
          <w:rFonts w:hint="default" w:ascii="Arial" w:hAnsi="Arial" w:cs="Arial"/>
          <w:sz w:val="24"/>
          <w:szCs w:val="24"/>
          <w:lang w:val="es-CO" w:eastAsia="zh-CN"/>
        </w:rPr>
      </w:pPr>
    </w:p>
    <w:p>
      <w:pPr>
        <w:spacing w:beforeLines="0" w:afterLines="0" w:line="360" w:lineRule="auto"/>
        <w:jc w:val="center"/>
      </w:pPr>
      <w:r>
        <w:drawing>
          <wp:inline distT="0" distB="0" distL="114300" distR="114300">
            <wp:extent cx="2113915" cy="635635"/>
            <wp:effectExtent l="9525" t="9525" r="10160" b="21590"/>
            <wp:docPr id="9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n 9"/>
                    <pic:cNvPicPr>
                      <a:picLocks noChangeAspect="1"/>
                    </pic:cNvPicPr>
                  </pic:nvPicPr>
                  <pic:blipFill>
                    <a:blip r:embed="rId17"/>
                    <a:stretch>
                      <a:fillRect/>
                    </a:stretch>
                  </pic:blipFill>
                  <pic:spPr>
                    <a:xfrm>
                      <a:off x="0" y="0"/>
                      <a:ext cx="2113915" cy="63563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Acceso a la opción Consulta de Terceros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spacing w:beforeLines="0" w:afterLines="0" w:line="360" w:lineRule="auto"/>
        <w:jc w:val="both"/>
        <w:rPr>
          <w:rFonts w:hint="default"/>
          <w:lang w:val="es-CO" w:eastAsia="zh-CN"/>
        </w:rPr>
      </w:pPr>
    </w:p>
    <w:p>
      <w:pPr>
        <w:spacing w:beforeLines="0" w:afterLines="0" w:line="360" w:lineRule="auto"/>
        <w:jc w:val="center"/>
      </w:pPr>
      <w:r>
        <w:drawing>
          <wp:inline distT="0" distB="0" distL="114300" distR="114300">
            <wp:extent cx="3929380" cy="3403600"/>
            <wp:effectExtent l="9525" t="9525" r="23495" b="15875"/>
            <wp:docPr id="9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n 10"/>
                    <pic:cNvPicPr>
                      <a:picLocks noChangeAspect="1"/>
                    </pic:cNvPicPr>
                  </pic:nvPicPr>
                  <pic:blipFill>
                    <a:blip r:embed="rId18"/>
                    <a:stretch>
                      <a:fillRect/>
                    </a:stretch>
                  </pic:blipFill>
                  <pic:spPr>
                    <a:xfrm>
                      <a:off x="0" y="0"/>
                      <a:ext cx="3929380" cy="3403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Consulta de Terceros</w:t>
      </w:r>
    </w:p>
    <w:p>
      <w:pPr>
        <w:spacing w:beforeLines="0" w:afterLines="0" w:line="360" w:lineRule="auto"/>
        <w:jc w:val="both"/>
        <w:rPr>
          <w:rFonts w:hint="default"/>
          <w:lang w:val="es-CO" w:eastAsia="zh-CN"/>
        </w:rPr>
      </w:pPr>
    </w:p>
    <w:p>
      <w:pPr>
        <w:pStyle w:val="3"/>
        <w:spacing w:before="0"/>
      </w:pPr>
      <w:bookmarkStart w:id="10" w:name="_Toc22735"/>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0"/>
    </w:p>
    <w:p>
      <w:pPr>
        <w:spacing w:beforeLines="0" w:afterLines="0" w:line="360" w:lineRule="auto"/>
        <w:jc w:val="both"/>
        <w:rPr>
          <w:rFonts w:hint="default" w:ascii="Arial" w:hAnsi="Arial" w:cs="Arial"/>
          <w:sz w:val="24"/>
          <w:szCs w:val="24"/>
          <w:lang w:val="es-CO" w:eastAsia="zh-CN"/>
        </w:rPr>
      </w:pPr>
      <w:r>
        <w:rPr>
          <w:rFonts w:hint="default" w:ascii="Arial" w:hAnsi="Arial" w:cs="Arial"/>
          <w:sz w:val="24"/>
          <w:szCs w:val="24"/>
          <w:lang w:val="es-CO" w:eastAsia="zh-CN"/>
        </w:rPr>
        <w:t xml:space="preserve">Para consultar los pagos efectuados por terceros y su detalle se debe seleccionar el tipo de identificación del tercero y seleccionar el tercero por el número de identificación en la lista de selección del campo Identificación y dar ENTER: </w:t>
      </w:r>
    </w:p>
    <w:p>
      <w:pPr>
        <w:spacing w:beforeLines="0" w:afterLines="0" w:line="360" w:lineRule="auto"/>
        <w:jc w:val="both"/>
        <w:rPr>
          <w:rFonts w:hint="default" w:ascii="Arial" w:hAnsi="Arial" w:cs="Arial"/>
          <w:sz w:val="24"/>
          <w:szCs w:val="24"/>
          <w:lang w:val="es-CO" w:eastAsia="zh-CN"/>
        </w:rPr>
      </w:pPr>
    </w:p>
    <w:p>
      <w:pPr>
        <w:spacing w:beforeLines="0" w:afterLines="0" w:line="360" w:lineRule="auto"/>
        <w:jc w:val="center"/>
      </w:pPr>
      <w:r>
        <w:drawing>
          <wp:inline distT="0" distB="0" distL="114300" distR="114300">
            <wp:extent cx="2078990" cy="1884680"/>
            <wp:effectExtent l="9525" t="9525" r="26035" b="10795"/>
            <wp:docPr id="10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n 11"/>
                    <pic:cNvPicPr>
                      <a:picLocks noChangeAspect="1"/>
                    </pic:cNvPicPr>
                  </pic:nvPicPr>
                  <pic:blipFill>
                    <a:blip r:embed="rId19"/>
                    <a:stretch>
                      <a:fillRect/>
                    </a:stretch>
                  </pic:blipFill>
                  <pic:spPr>
                    <a:xfrm>
                      <a:off x="0" y="0"/>
                      <a:ext cx="2078990" cy="188468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Tipo de Identificaciones</w:t>
      </w:r>
    </w:p>
    <w:p>
      <w:pPr>
        <w:spacing w:beforeLines="0" w:afterLines="0" w:line="360" w:lineRule="auto"/>
        <w:jc w:val="center"/>
      </w:pPr>
      <w:r>
        <w:drawing>
          <wp:inline distT="0" distB="0" distL="114300" distR="114300">
            <wp:extent cx="3954145" cy="2449195"/>
            <wp:effectExtent l="9525" t="9525" r="17780" b="177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0"/>
                    <a:stretch>
                      <a:fillRect/>
                    </a:stretch>
                  </pic:blipFill>
                  <pic:spPr>
                    <a:xfrm>
                      <a:off x="0" y="0"/>
                      <a:ext cx="3954145" cy="24491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Identificación</w:t>
      </w:r>
    </w:p>
    <w:p>
      <w:pPr>
        <w:spacing w:beforeLines="0" w:afterLines="0" w:line="360" w:lineRule="auto"/>
        <w:jc w:val="both"/>
        <w:rPr>
          <w:rFonts w:hint="default"/>
          <w:lang w:val="es-CO" w:eastAsia="zh-CN"/>
        </w:rPr>
      </w:pPr>
    </w:p>
    <w:p>
      <w:pPr>
        <w:spacing w:beforeLines="0" w:afterLines="0" w:line="360" w:lineRule="auto"/>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cargará la información referente a los pagos realizados por el tercero consultado: </w:t>
      </w:r>
    </w:p>
    <w:p>
      <w:pPr>
        <w:spacing w:beforeLines="0" w:afterLines="0" w:line="360" w:lineRule="auto"/>
        <w:jc w:val="both"/>
        <w:rPr>
          <w:rFonts w:hint="default" w:ascii="Arial" w:hAnsi="Arial" w:cs="Arial"/>
          <w:sz w:val="24"/>
          <w:szCs w:val="24"/>
          <w:lang w:val="es-CO" w:eastAsia="zh-CN"/>
        </w:rPr>
      </w:pPr>
    </w:p>
    <w:p>
      <w:pPr>
        <w:spacing w:beforeLines="0" w:afterLines="0" w:line="360" w:lineRule="auto"/>
        <w:jc w:val="center"/>
      </w:pPr>
      <w:r>
        <w:drawing>
          <wp:inline distT="0" distB="0" distL="114300" distR="114300">
            <wp:extent cx="4590415" cy="4229100"/>
            <wp:effectExtent l="9525" t="9525" r="1016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21"/>
                    <a:stretch>
                      <a:fillRect/>
                    </a:stretch>
                  </pic:blipFill>
                  <pic:spPr>
                    <a:xfrm>
                      <a:off x="0" y="0"/>
                      <a:ext cx="4590415" cy="42291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Resultados Consulta</w:t>
      </w:r>
    </w:p>
    <w:p>
      <w:pPr>
        <w:pStyle w:val="3"/>
        <w:numPr>
          <w:ilvl w:val="1"/>
          <w:numId w:val="1"/>
        </w:numPr>
        <w:spacing w:before="0"/>
        <w:rPr>
          <w:rFonts w:hint="default" w:cs="Arial"/>
          <w:szCs w:val="24"/>
          <w:lang w:val="es-CO"/>
        </w:rPr>
      </w:pPr>
      <w:bookmarkStart w:id="11" w:name="_Toc31660"/>
      <w:r>
        <w:rPr>
          <w:rFonts w:hint="default" w:cs="Arial"/>
          <w:szCs w:val="24"/>
          <w:lang w:val="es-CO"/>
        </w:rPr>
        <w:t>Consulta de Documentos de Terceros</w:t>
      </w:r>
      <w:bookmarkEnd w:id="11"/>
      <w:r>
        <w:rPr>
          <w:rFonts w:hint="default" w:cs="Arial"/>
          <w:szCs w:val="24"/>
          <w:lang w:val="es-CO"/>
        </w:rPr>
        <w:t xml:space="preserve"> </w:t>
      </w:r>
    </w:p>
    <w:p>
      <w:pPr>
        <w:pStyle w:val="3"/>
        <w:spacing w:before="0"/>
        <w:rPr>
          <w:rFonts w:cs="Arial"/>
          <w:szCs w:val="24"/>
        </w:rPr>
      </w:pPr>
      <w:bookmarkStart w:id="12" w:name="_Toc342"/>
      <w:r>
        <w:rPr>
          <w:rFonts w:cs="Arial"/>
          <w:szCs w:val="24"/>
        </w:rPr>
        <w:t>1.</w:t>
      </w:r>
      <w:r>
        <w:rPr>
          <w:rFonts w:hint="default" w:cs="Arial"/>
          <w:szCs w:val="24"/>
          <w:lang w:val="es-CO"/>
        </w:rPr>
        <w:t>3</w:t>
      </w:r>
      <w:r>
        <w:rPr>
          <w:rFonts w:cs="Arial"/>
          <w:szCs w:val="24"/>
        </w:rPr>
        <w:t>.1. Acceso a la opción</w:t>
      </w:r>
      <w:bookmarkEnd w:id="12"/>
      <w:r>
        <w:rPr>
          <w:rFonts w:cs="Arial"/>
          <w:szCs w:val="24"/>
        </w:rPr>
        <w:t xml:space="preserve"> </w:t>
      </w:r>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Reportes</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Generales </w:t>
      </w:r>
      <w:r>
        <w:rPr>
          <w:rStyle w:val="25"/>
          <w:rFonts w:hint="default" w:ascii="Arial" w:hAnsi="Arial" w:cs="Arial"/>
          <w:color w:val="auto"/>
          <w:sz w:val="24"/>
          <w:szCs w:val="24"/>
          <w:lang w:val="es-CO"/>
        </w:rPr>
        <w:t xml:space="preserve">y por último hacer doble clic en </w:t>
      </w:r>
      <w:r>
        <w:rPr>
          <w:rStyle w:val="25"/>
          <w:rFonts w:hint="default" w:ascii="Arial" w:hAnsi="Arial" w:cs="Arial"/>
          <w:color w:val="0047AC"/>
          <w:sz w:val="24"/>
          <w:szCs w:val="24"/>
          <w:lang w:val="es-CO"/>
        </w:rPr>
        <w:t>Consulta de Documentos de Terceros</w:t>
      </w:r>
    </w:p>
    <w:p>
      <w:pPr>
        <w:pStyle w:val="24"/>
        <w:ind w:left="0"/>
        <w:rPr>
          <w:rStyle w:val="25"/>
          <w:rFonts w:hint="default" w:ascii="Arial" w:hAnsi="Arial" w:cs="Arial"/>
          <w:color w:val="0047AC"/>
          <w:sz w:val="24"/>
          <w:szCs w:val="24"/>
          <w:lang w:val="es-CO"/>
        </w:rPr>
      </w:pPr>
    </w:p>
    <w:p>
      <w:pPr>
        <w:pStyle w:val="24"/>
        <w:ind w:left="0"/>
        <w:jc w:val="center"/>
        <w:rPr>
          <w:rStyle w:val="25"/>
          <w:rFonts w:hint="default" w:ascii="Arial" w:hAnsi="Arial" w:cs="Arial"/>
          <w:color w:val="0047AC"/>
          <w:sz w:val="24"/>
          <w:szCs w:val="24"/>
          <w:lang w:val="es-CO"/>
        </w:rPr>
      </w:pPr>
      <w:r>
        <w:drawing>
          <wp:inline distT="0" distB="0" distL="114300" distR="114300">
            <wp:extent cx="3228975" cy="656590"/>
            <wp:effectExtent l="9525" t="9525" r="19050" b="196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22"/>
                    <a:stretch>
                      <a:fillRect/>
                    </a:stretch>
                  </pic:blipFill>
                  <pic:spPr>
                    <a:xfrm>
                      <a:off x="0" y="0"/>
                      <a:ext cx="3228975" cy="65659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Consulta de Documentos de Terceros</w:t>
      </w:r>
    </w:p>
    <w:p>
      <w:pPr>
        <w:rPr>
          <w:rFonts w:hint="default"/>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rPr>
          <w:rFonts w:hint="default"/>
          <w:lang w:val="es-CO" w:eastAsia="zh-CN"/>
        </w:rPr>
      </w:pPr>
    </w:p>
    <w:p>
      <w:pPr>
        <w:jc w:val="center"/>
      </w:pPr>
      <w:r>
        <w:drawing>
          <wp:inline distT="0" distB="0" distL="114300" distR="114300">
            <wp:extent cx="6176645" cy="5039995"/>
            <wp:effectExtent l="9525" t="9525" r="24130"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23"/>
                    <a:stretch>
                      <a:fillRect/>
                    </a:stretch>
                  </pic:blipFill>
                  <pic:spPr>
                    <a:xfrm>
                      <a:off x="0" y="0"/>
                      <a:ext cx="6176645" cy="503999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Documentos de Terceros</w:t>
      </w:r>
    </w:p>
    <w:p>
      <w:pPr>
        <w:pStyle w:val="3"/>
        <w:spacing w:before="0"/>
      </w:pPr>
      <w:bookmarkStart w:id="13" w:name="_Toc29002"/>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3"/>
    </w:p>
    <w:p>
      <w:pPr>
        <w:spacing w:beforeLines="0" w:afterLines="0" w:line="360" w:lineRule="auto"/>
        <w:jc w:val="both"/>
        <w:rPr>
          <w:rFonts w:hint="default" w:ascii="Arial" w:hAnsi="Arial" w:cs="Arial"/>
          <w:sz w:val="24"/>
          <w:szCs w:val="24"/>
          <w:lang w:val="es-CO" w:eastAsia="zh-CN"/>
        </w:rPr>
      </w:pPr>
      <w:r>
        <w:rPr>
          <w:rFonts w:hint="default" w:ascii="Arial" w:hAnsi="Arial" w:cs="Arial"/>
          <w:sz w:val="24"/>
          <w:szCs w:val="24"/>
          <w:lang w:val="es-CO" w:eastAsia="zh-CN"/>
        </w:rPr>
        <w:t xml:space="preserve">Para consultar los documentos de terceros y su detalle se debe seleccionar el tipo de identificación del tercero, seleccionar el tercero por el número de identificación en la lista de selección del campo Identificación y Ingresar el número de documento a consultar por último dar clic en </w:t>
      </w:r>
      <w:r>
        <w:drawing>
          <wp:inline distT="0" distB="0" distL="114300" distR="114300">
            <wp:extent cx="1133475" cy="200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24"/>
                    <a:stretch>
                      <a:fillRect/>
                    </a:stretch>
                  </pic:blipFill>
                  <pic:spPr>
                    <a:xfrm>
                      <a:off x="0" y="0"/>
                      <a:ext cx="1133475" cy="200025"/>
                    </a:xfrm>
                    <a:prstGeom prst="rect">
                      <a:avLst/>
                    </a:prstGeom>
                    <a:noFill/>
                    <a:ln>
                      <a:noFill/>
                    </a:ln>
                  </pic:spPr>
                </pic:pic>
              </a:graphicData>
            </a:graphic>
          </wp:inline>
        </w:drawing>
      </w:r>
    </w:p>
    <w:p>
      <w:pPr>
        <w:jc w:val="both"/>
        <w:rPr>
          <w:rFonts w:hint="default"/>
          <w:lang w:val="es-CO" w:eastAsia="zh-CN"/>
        </w:rPr>
      </w:pPr>
    </w:p>
    <w:p>
      <w:pPr>
        <w:spacing w:beforeLines="0" w:afterLines="0" w:line="360" w:lineRule="auto"/>
        <w:jc w:val="center"/>
      </w:pPr>
      <w:r>
        <w:drawing>
          <wp:inline distT="0" distB="0" distL="114300" distR="114300">
            <wp:extent cx="2712720" cy="2459355"/>
            <wp:effectExtent l="9525" t="9525" r="20955" b="26670"/>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
                    <pic:cNvPicPr>
                      <a:picLocks noChangeAspect="1"/>
                    </pic:cNvPicPr>
                  </pic:nvPicPr>
                  <pic:blipFill>
                    <a:blip r:embed="rId19"/>
                    <a:stretch>
                      <a:fillRect/>
                    </a:stretch>
                  </pic:blipFill>
                  <pic:spPr>
                    <a:xfrm>
                      <a:off x="0" y="0"/>
                      <a:ext cx="2712720" cy="245935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Tipo de Identificaciones</w:t>
      </w:r>
    </w:p>
    <w:p>
      <w:pPr>
        <w:rPr>
          <w:rFonts w:hint="default"/>
          <w:lang w:val="es-CO"/>
        </w:rPr>
      </w:pPr>
    </w:p>
    <w:p>
      <w:pPr>
        <w:spacing w:beforeLines="0" w:afterLines="0" w:line="360" w:lineRule="auto"/>
        <w:jc w:val="center"/>
      </w:pPr>
      <w:r>
        <w:drawing>
          <wp:inline distT="0" distB="0" distL="114300" distR="114300">
            <wp:extent cx="4157980" cy="2575560"/>
            <wp:effectExtent l="9525" t="9525" r="23495" b="247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20"/>
                    <a:stretch>
                      <a:fillRect/>
                    </a:stretch>
                  </pic:blipFill>
                  <pic:spPr>
                    <a:xfrm>
                      <a:off x="0" y="0"/>
                      <a:ext cx="4157980" cy="257556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Identificación</w:t>
      </w:r>
    </w:p>
    <w:p>
      <w:pPr>
        <w:jc w:val="both"/>
        <w:rPr>
          <w:rFonts w:hint="default"/>
          <w:lang w:val="es-CO" w:eastAsia="zh-CN"/>
        </w:rPr>
      </w:pPr>
    </w:p>
    <w:p>
      <w:pPr>
        <w:jc w:val="center"/>
      </w:pPr>
      <w:r>
        <w:drawing>
          <wp:inline distT="0" distB="0" distL="114300" distR="114300">
            <wp:extent cx="3806825" cy="344805"/>
            <wp:effectExtent l="9525" t="9525" r="12700" b="2667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25"/>
                    <a:stretch>
                      <a:fillRect/>
                    </a:stretch>
                  </pic:blipFill>
                  <pic:spPr>
                    <a:xfrm>
                      <a:off x="0" y="0"/>
                      <a:ext cx="3806825" cy="344805"/>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No Documento</w:t>
      </w:r>
    </w:p>
    <w:p>
      <w:pPr>
        <w:spacing w:beforeLines="0" w:afterLines="0" w:line="360" w:lineRule="auto"/>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cargará la información referente al documento consultado detallado: </w:t>
      </w:r>
    </w:p>
    <w:p>
      <w:pPr>
        <w:jc w:val="both"/>
        <w:rPr>
          <w:rFonts w:hint="default"/>
          <w:lang w:val="es-CO" w:eastAsia="zh-CN"/>
        </w:rPr>
      </w:pPr>
    </w:p>
    <w:p>
      <w:pPr>
        <w:jc w:val="center"/>
      </w:pPr>
      <w:r>
        <w:drawing>
          <wp:inline distT="0" distB="0" distL="114300" distR="114300">
            <wp:extent cx="6029325" cy="4800600"/>
            <wp:effectExtent l="0" t="0" r="9525"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7"/>
                    <pic:cNvPicPr>
                      <a:picLocks noChangeAspect="1"/>
                    </pic:cNvPicPr>
                  </pic:nvPicPr>
                  <pic:blipFill>
                    <a:blip r:embed="rId26"/>
                    <a:stretch>
                      <a:fillRect/>
                    </a:stretch>
                  </pic:blipFill>
                  <pic:spPr>
                    <a:xfrm>
                      <a:off x="0" y="0"/>
                      <a:ext cx="6029325" cy="4800600"/>
                    </a:xfrm>
                    <a:prstGeom prst="rect">
                      <a:avLst/>
                    </a:prstGeom>
                    <a:noFill/>
                    <a:ln>
                      <a:no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Resultado Consulta</w:t>
      </w:r>
    </w:p>
    <w:p>
      <w:pPr>
        <w:jc w:val="center"/>
        <w:rPr>
          <w:rFonts w:hint="default"/>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Generales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Rentas.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rPr>
        <w:rFonts w:hint="default" w:ascii="Arial" w:hAnsi="Arial" w:cs="Arial"/>
        <w:b/>
        <w:bCs/>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D4F0C"/>
    <w:rsid w:val="001F5BAE"/>
    <w:rsid w:val="00355D76"/>
    <w:rsid w:val="00386159"/>
    <w:rsid w:val="00411659"/>
    <w:rsid w:val="00417C8E"/>
    <w:rsid w:val="00433E9C"/>
    <w:rsid w:val="004D43B2"/>
    <w:rsid w:val="00524FDD"/>
    <w:rsid w:val="00674269"/>
    <w:rsid w:val="006D60DD"/>
    <w:rsid w:val="007B5B4E"/>
    <w:rsid w:val="0080320D"/>
    <w:rsid w:val="00803633"/>
    <w:rsid w:val="0082420D"/>
    <w:rsid w:val="00825AF6"/>
    <w:rsid w:val="008F473B"/>
    <w:rsid w:val="00946E77"/>
    <w:rsid w:val="00974BF6"/>
    <w:rsid w:val="00BA46BF"/>
    <w:rsid w:val="00BA674C"/>
    <w:rsid w:val="00CA3079"/>
    <w:rsid w:val="00E016ED"/>
    <w:rsid w:val="00F079BF"/>
    <w:rsid w:val="00F36AB1"/>
    <w:rsid w:val="00F37AA7"/>
    <w:rsid w:val="00F41DF3"/>
    <w:rsid w:val="00F63150"/>
    <w:rsid w:val="012762C1"/>
    <w:rsid w:val="01356B57"/>
    <w:rsid w:val="014D2BAA"/>
    <w:rsid w:val="017C59AE"/>
    <w:rsid w:val="018138BC"/>
    <w:rsid w:val="01887070"/>
    <w:rsid w:val="01D974DF"/>
    <w:rsid w:val="02616E69"/>
    <w:rsid w:val="02707865"/>
    <w:rsid w:val="029B23FB"/>
    <w:rsid w:val="02CE5FCE"/>
    <w:rsid w:val="02D03CAC"/>
    <w:rsid w:val="03016CF5"/>
    <w:rsid w:val="030A4AB2"/>
    <w:rsid w:val="03964664"/>
    <w:rsid w:val="03BA20A0"/>
    <w:rsid w:val="03F97623"/>
    <w:rsid w:val="04373979"/>
    <w:rsid w:val="0472112A"/>
    <w:rsid w:val="0472396C"/>
    <w:rsid w:val="047658C8"/>
    <w:rsid w:val="04AF5FCD"/>
    <w:rsid w:val="04B538E5"/>
    <w:rsid w:val="05551D8E"/>
    <w:rsid w:val="05627572"/>
    <w:rsid w:val="05794E22"/>
    <w:rsid w:val="057B5B98"/>
    <w:rsid w:val="060704D4"/>
    <w:rsid w:val="061E3FF9"/>
    <w:rsid w:val="061F4337"/>
    <w:rsid w:val="06607782"/>
    <w:rsid w:val="06686D1B"/>
    <w:rsid w:val="06835468"/>
    <w:rsid w:val="07116107"/>
    <w:rsid w:val="07200DA3"/>
    <w:rsid w:val="075D7D17"/>
    <w:rsid w:val="07681E25"/>
    <w:rsid w:val="080B6F30"/>
    <w:rsid w:val="085A608C"/>
    <w:rsid w:val="088B3ED3"/>
    <w:rsid w:val="08BE26A2"/>
    <w:rsid w:val="08DF71E2"/>
    <w:rsid w:val="08ED21FE"/>
    <w:rsid w:val="09411F54"/>
    <w:rsid w:val="09652381"/>
    <w:rsid w:val="09767B06"/>
    <w:rsid w:val="098149E6"/>
    <w:rsid w:val="09942A15"/>
    <w:rsid w:val="09C4551E"/>
    <w:rsid w:val="0A682678"/>
    <w:rsid w:val="0A7C3A74"/>
    <w:rsid w:val="0ABF1ECC"/>
    <w:rsid w:val="0ACC78D8"/>
    <w:rsid w:val="0AD40A6B"/>
    <w:rsid w:val="0B172B7F"/>
    <w:rsid w:val="0B5D0756"/>
    <w:rsid w:val="0BAA0371"/>
    <w:rsid w:val="0BB84424"/>
    <w:rsid w:val="0BF52447"/>
    <w:rsid w:val="0C1D5BB8"/>
    <w:rsid w:val="0CB72639"/>
    <w:rsid w:val="0CCA6F6A"/>
    <w:rsid w:val="0CF46474"/>
    <w:rsid w:val="0D194462"/>
    <w:rsid w:val="0D212A22"/>
    <w:rsid w:val="0D592C8A"/>
    <w:rsid w:val="0D667DFE"/>
    <w:rsid w:val="0D780161"/>
    <w:rsid w:val="0DCB0A56"/>
    <w:rsid w:val="0DEB67E5"/>
    <w:rsid w:val="0DFB0510"/>
    <w:rsid w:val="0E1D3570"/>
    <w:rsid w:val="0E2229E0"/>
    <w:rsid w:val="0E6146F3"/>
    <w:rsid w:val="0E684D1F"/>
    <w:rsid w:val="0E760C16"/>
    <w:rsid w:val="0E8D1DC8"/>
    <w:rsid w:val="0E926CFF"/>
    <w:rsid w:val="0EA87D07"/>
    <w:rsid w:val="0EE24322"/>
    <w:rsid w:val="0EFD6356"/>
    <w:rsid w:val="0F1B49BA"/>
    <w:rsid w:val="0F3F3112"/>
    <w:rsid w:val="0F600F08"/>
    <w:rsid w:val="0F833706"/>
    <w:rsid w:val="0FE165A8"/>
    <w:rsid w:val="10074C4F"/>
    <w:rsid w:val="10522D7C"/>
    <w:rsid w:val="105341FB"/>
    <w:rsid w:val="10654A1B"/>
    <w:rsid w:val="1096672C"/>
    <w:rsid w:val="10A04F87"/>
    <w:rsid w:val="112C76E2"/>
    <w:rsid w:val="113B7F5A"/>
    <w:rsid w:val="11442AAB"/>
    <w:rsid w:val="114467ED"/>
    <w:rsid w:val="119D0979"/>
    <w:rsid w:val="11AD7B50"/>
    <w:rsid w:val="11AE7FD5"/>
    <w:rsid w:val="11C746CA"/>
    <w:rsid w:val="11D42BC7"/>
    <w:rsid w:val="11D50342"/>
    <w:rsid w:val="11EC041F"/>
    <w:rsid w:val="12700700"/>
    <w:rsid w:val="1281778C"/>
    <w:rsid w:val="12985139"/>
    <w:rsid w:val="12C11706"/>
    <w:rsid w:val="12CA19FD"/>
    <w:rsid w:val="12CD20FE"/>
    <w:rsid w:val="134A2D25"/>
    <w:rsid w:val="13B46E99"/>
    <w:rsid w:val="13BC3160"/>
    <w:rsid w:val="13CB3B08"/>
    <w:rsid w:val="13DC12ED"/>
    <w:rsid w:val="13E05B79"/>
    <w:rsid w:val="13EA5BC1"/>
    <w:rsid w:val="140A0670"/>
    <w:rsid w:val="14583D39"/>
    <w:rsid w:val="148C7106"/>
    <w:rsid w:val="14AB2E13"/>
    <w:rsid w:val="14CC3949"/>
    <w:rsid w:val="14CC46EE"/>
    <w:rsid w:val="15825409"/>
    <w:rsid w:val="15B6473A"/>
    <w:rsid w:val="15F3725D"/>
    <w:rsid w:val="16047EAE"/>
    <w:rsid w:val="160B7BD5"/>
    <w:rsid w:val="16105F12"/>
    <w:rsid w:val="168250AE"/>
    <w:rsid w:val="16906515"/>
    <w:rsid w:val="16952A56"/>
    <w:rsid w:val="16B23BC2"/>
    <w:rsid w:val="16BA34A2"/>
    <w:rsid w:val="16CE3DA9"/>
    <w:rsid w:val="16CF46CD"/>
    <w:rsid w:val="16EF0BEF"/>
    <w:rsid w:val="16FA4102"/>
    <w:rsid w:val="170133B4"/>
    <w:rsid w:val="170A4821"/>
    <w:rsid w:val="17201571"/>
    <w:rsid w:val="172A2A8D"/>
    <w:rsid w:val="173F27A8"/>
    <w:rsid w:val="17420507"/>
    <w:rsid w:val="17E22583"/>
    <w:rsid w:val="17F277BF"/>
    <w:rsid w:val="18020FB9"/>
    <w:rsid w:val="182A1F47"/>
    <w:rsid w:val="182E5292"/>
    <w:rsid w:val="18342970"/>
    <w:rsid w:val="184C085F"/>
    <w:rsid w:val="18751548"/>
    <w:rsid w:val="18906FA8"/>
    <w:rsid w:val="18DE304A"/>
    <w:rsid w:val="18F74737"/>
    <w:rsid w:val="19376E2A"/>
    <w:rsid w:val="19954419"/>
    <w:rsid w:val="19C256EF"/>
    <w:rsid w:val="19D80D05"/>
    <w:rsid w:val="19F5756A"/>
    <w:rsid w:val="19F75913"/>
    <w:rsid w:val="1A034A2F"/>
    <w:rsid w:val="1A0A1BCD"/>
    <w:rsid w:val="1A160A77"/>
    <w:rsid w:val="1A2118FA"/>
    <w:rsid w:val="1A575BDA"/>
    <w:rsid w:val="1A7437A6"/>
    <w:rsid w:val="1AB41DE3"/>
    <w:rsid w:val="1AC82D7D"/>
    <w:rsid w:val="1B214BC5"/>
    <w:rsid w:val="1B8C49CB"/>
    <w:rsid w:val="1BA6443B"/>
    <w:rsid w:val="1BC12E52"/>
    <w:rsid w:val="1BCD4240"/>
    <w:rsid w:val="1C0D0971"/>
    <w:rsid w:val="1C3F0805"/>
    <w:rsid w:val="1C8B5031"/>
    <w:rsid w:val="1C9F11F3"/>
    <w:rsid w:val="1CAC2858"/>
    <w:rsid w:val="1CD23796"/>
    <w:rsid w:val="1D0043B4"/>
    <w:rsid w:val="1D0917B2"/>
    <w:rsid w:val="1D3230E5"/>
    <w:rsid w:val="1D3437F2"/>
    <w:rsid w:val="1D78629F"/>
    <w:rsid w:val="1D7B1F48"/>
    <w:rsid w:val="1D830B27"/>
    <w:rsid w:val="1D996D16"/>
    <w:rsid w:val="1DA06A6F"/>
    <w:rsid w:val="1DE66F23"/>
    <w:rsid w:val="1E27743A"/>
    <w:rsid w:val="1E4E46E3"/>
    <w:rsid w:val="1EA24CB1"/>
    <w:rsid w:val="1EF1321B"/>
    <w:rsid w:val="1F0B6F66"/>
    <w:rsid w:val="1F7E70D0"/>
    <w:rsid w:val="1F9D1DD6"/>
    <w:rsid w:val="1FA35A27"/>
    <w:rsid w:val="1FE86298"/>
    <w:rsid w:val="1FF66A6B"/>
    <w:rsid w:val="1FFE517B"/>
    <w:rsid w:val="20184862"/>
    <w:rsid w:val="20294E78"/>
    <w:rsid w:val="209E439C"/>
    <w:rsid w:val="209F5EB3"/>
    <w:rsid w:val="20CD225F"/>
    <w:rsid w:val="20E83F30"/>
    <w:rsid w:val="213D7A0E"/>
    <w:rsid w:val="215003E1"/>
    <w:rsid w:val="216604C7"/>
    <w:rsid w:val="21846F4D"/>
    <w:rsid w:val="21A75B00"/>
    <w:rsid w:val="21AF0E2D"/>
    <w:rsid w:val="21C318B7"/>
    <w:rsid w:val="21EC2667"/>
    <w:rsid w:val="222E4968"/>
    <w:rsid w:val="22A24304"/>
    <w:rsid w:val="22C37366"/>
    <w:rsid w:val="22C65936"/>
    <w:rsid w:val="22E53485"/>
    <w:rsid w:val="231A60BB"/>
    <w:rsid w:val="232133E8"/>
    <w:rsid w:val="23587E95"/>
    <w:rsid w:val="23714091"/>
    <w:rsid w:val="24180CB7"/>
    <w:rsid w:val="2422736D"/>
    <w:rsid w:val="24277C60"/>
    <w:rsid w:val="244608B6"/>
    <w:rsid w:val="246F0F80"/>
    <w:rsid w:val="250F1C56"/>
    <w:rsid w:val="25161F23"/>
    <w:rsid w:val="2621733A"/>
    <w:rsid w:val="266E6E6D"/>
    <w:rsid w:val="26967207"/>
    <w:rsid w:val="26C7558E"/>
    <w:rsid w:val="26E7378B"/>
    <w:rsid w:val="272960B9"/>
    <w:rsid w:val="273A440D"/>
    <w:rsid w:val="27487499"/>
    <w:rsid w:val="2766418D"/>
    <w:rsid w:val="27786F89"/>
    <w:rsid w:val="27A624FF"/>
    <w:rsid w:val="27A9525B"/>
    <w:rsid w:val="27C36E8F"/>
    <w:rsid w:val="27D945F4"/>
    <w:rsid w:val="27F01075"/>
    <w:rsid w:val="28017367"/>
    <w:rsid w:val="28301116"/>
    <w:rsid w:val="28615969"/>
    <w:rsid w:val="288A5E3F"/>
    <w:rsid w:val="289D7FC3"/>
    <w:rsid w:val="28A721D8"/>
    <w:rsid w:val="28B478DC"/>
    <w:rsid w:val="28CB692C"/>
    <w:rsid w:val="290D1E1D"/>
    <w:rsid w:val="29105C6A"/>
    <w:rsid w:val="291F0B54"/>
    <w:rsid w:val="29407FC7"/>
    <w:rsid w:val="294340D6"/>
    <w:rsid w:val="295235A7"/>
    <w:rsid w:val="29651292"/>
    <w:rsid w:val="29A02451"/>
    <w:rsid w:val="29C42853"/>
    <w:rsid w:val="29EC055E"/>
    <w:rsid w:val="29F23893"/>
    <w:rsid w:val="29F54DBE"/>
    <w:rsid w:val="2A1E0E44"/>
    <w:rsid w:val="2A623F40"/>
    <w:rsid w:val="2AA05B77"/>
    <w:rsid w:val="2AB27B12"/>
    <w:rsid w:val="2ABF4989"/>
    <w:rsid w:val="2B5373AE"/>
    <w:rsid w:val="2B5E15BA"/>
    <w:rsid w:val="2B7252D8"/>
    <w:rsid w:val="2B7F4D4B"/>
    <w:rsid w:val="2BBD158D"/>
    <w:rsid w:val="2BBD2918"/>
    <w:rsid w:val="2BEE5852"/>
    <w:rsid w:val="2BFD0563"/>
    <w:rsid w:val="2C7A4741"/>
    <w:rsid w:val="2CAB5273"/>
    <w:rsid w:val="2CE43669"/>
    <w:rsid w:val="2CFE69D0"/>
    <w:rsid w:val="2D042A18"/>
    <w:rsid w:val="2D052566"/>
    <w:rsid w:val="2D0B263A"/>
    <w:rsid w:val="2D3C2E26"/>
    <w:rsid w:val="2D484C78"/>
    <w:rsid w:val="2D514809"/>
    <w:rsid w:val="2D557EA4"/>
    <w:rsid w:val="2D656495"/>
    <w:rsid w:val="2D6B724D"/>
    <w:rsid w:val="2D9C323F"/>
    <w:rsid w:val="2E092C39"/>
    <w:rsid w:val="2E506B8C"/>
    <w:rsid w:val="2E5A3BF5"/>
    <w:rsid w:val="2EB95E0A"/>
    <w:rsid w:val="2ED278AB"/>
    <w:rsid w:val="2EFD77B8"/>
    <w:rsid w:val="2F08035C"/>
    <w:rsid w:val="2F1C6D49"/>
    <w:rsid w:val="2F590445"/>
    <w:rsid w:val="2F6F208A"/>
    <w:rsid w:val="2F7F7739"/>
    <w:rsid w:val="2F9E123B"/>
    <w:rsid w:val="2FB037C0"/>
    <w:rsid w:val="30134410"/>
    <w:rsid w:val="30281438"/>
    <w:rsid w:val="302A6892"/>
    <w:rsid w:val="305F246F"/>
    <w:rsid w:val="30BD2E15"/>
    <w:rsid w:val="31277EEB"/>
    <w:rsid w:val="314224A3"/>
    <w:rsid w:val="31723045"/>
    <w:rsid w:val="318E2F6D"/>
    <w:rsid w:val="31A10E76"/>
    <w:rsid w:val="321D426A"/>
    <w:rsid w:val="32212096"/>
    <w:rsid w:val="32556245"/>
    <w:rsid w:val="32671C99"/>
    <w:rsid w:val="329D6B84"/>
    <w:rsid w:val="32BB5F4E"/>
    <w:rsid w:val="32FF03EF"/>
    <w:rsid w:val="33714DF8"/>
    <w:rsid w:val="338D1A6E"/>
    <w:rsid w:val="33A44190"/>
    <w:rsid w:val="33B9365D"/>
    <w:rsid w:val="33BC3F44"/>
    <w:rsid w:val="33D57811"/>
    <w:rsid w:val="33D67C76"/>
    <w:rsid w:val="341D3DEE"/>
    <w:rsid w:val="34621172"/>
    <w:rsid w:val="34812E41"/>
    <w:rsid w:val="34A94BA5"/>
    <w:rsid w:val="34BD70C4"/>
    <w:rsid w:val="34ED2079"/>
    <w:rsid w:val="352538ED"/>
    <w:rsid w:val="35296A02"/>
    <w:rsid w:val="355E1550"/>
    <w:rsid w:val="35617CE6"/>
    <w:rsid w:val="35632CEF"/>
    <w:rsid w:val="367D38B3"/>
    <w:rsid w:val="36B73257"/>
    <w:rsid w:val="370354F0"/>
    <w:rsid w:val="370B6621"/>
    <w:rsid w:val="37730C5B"/>
    <w:rsid w:val="37743389"/>
    <w:rsid w:val="37812233"/>
    <w:rsid w:val="378B2BE4"/>
    <w:rsid w:val="379C2CA8"/>
    <w:rsid w:val="37CA000C"/>
    <w:rsid w:val="37E45D03"/>
    <w:rsid w:val="381026DE"/>
    <w:rsid w:val="3811573D"/>
    <w:rsid w:val="3836380C"/>
    <w:rsid w:val="38464A15"/>
    <w:rsid w:val="38764D55"/>
    <w:rsid w:val="38A43162"/>
    <w:rsid w:val="38C51B3C"/>
    <w:rsid w:val="38E84639"/>
    <w:rsid w:val="38EA097F"/>
    <w:rsid w:val="391624BE"/>
    <w:rsid w:val="395230EE"/>
    <w:rsid w:val="395D0C10"/>
    <w:rsid w:val="399259BE"/>
    <w:rsid w:val="39C66B42"/>
    <w:rsid w:val="39FD4F39"/>
    <w:rsid w:val="3A165C61"/>
    <w:rsid w:val="3A436F93"/>
    <w:rsid w:val="3A5834B9"/>
    <w:rsid w:val="3A9350BF"/>
    <w:rsid w:val="3AA27453"/>
    <w:rsid w:val="3B2850DF"/>
    <w:rsid w:val="3B6A3F14"/>
    <w:rsid w:val="3B74690F"/>
    <w:rsid w:val="3B7F452B"/>
    <w:rsid w:val="3B8056E5"/>
    <w:rsid w:val="3B8F06CD"/>
    <w:rsid w:val="3B9C0360"/>
    <w:rsid w:val="3BBF248C"/>
    <w:rsid w:val="3CEB549F"/>
    <w:rsid w:val="3D020ECC"/>
    <w:rsid w:val="3D300105"/>
    <w:rsid w:val="3D7700A5"/>
    <w:rsid w:val="3D7D544C"/>
    <w:rsid w:val="3D8D0572"/>
    <w:rsid w:val="3E273F4C"/>
    <w:rsid w:val="3EB21ABC"/>
    <w:rsid w:val="3EF45569"/>
    <w:rsid w:val="3F1D12C4"/>
    <w:rsid w:val="3F273A94"/>
    <w:rsid w:val="3F8A78E5"/>
    <w:rsid w:val="3FBA76F7"/>
    <w:rsid w:val="3FF76A24"/>
    <w:rsid w:val="3FFE029C"/>
    <w:rsid w:val="400624D5"/>
    <w:rsid w:val="40082E55"/>
    <w:rsid w:val="40207CBE"/>
    <w:rsid w:val="40764BA5"/>
    <w:rsid w:val="408D4172"/>
    <w:rsid w:val="40934FF1"/>
    <w:rsid w:val="40D300B5"/>
    <w:rsid w:val="4118630C"/>
    <w:rsid w:val="411D789C"/>
    <w:rsid w:val="412141C4"/>
    <w:rsid w:val="41290B62"/>
    <w:rsid w:val="412C6E1E"/>
    <w:rsid w:val="415E7175"/>
    <w:rsid w:val="419A3DEA"/>
    <w:rsid w:val="41BD2B51"/>
    <w:rsid w:val="42153F72"/>
    <w:rsid w:val="42463303"/>
    <w:rsid w:val="427B6968"/>
    <w:rsid w:val="42DB0647"/>
    <w:rsid w:val="43C96D96"/>
    <w:rsid w:val="43F21769"/>
    <w:rsid w:val="4431143D"/>
    <w:rsid w:val="44455117"/>
    <w:rsid w:val="444C2B59"/>
    <w:rsid w:val="445C7CC4"/>
    <w:rsid w:val="447B3CF6"/>
    <w:rsid w:val="44AA708D"/>
    <w:rsid w:val="44BB41C2"/>
    <w:rsid w:val="44D01C88"/>
    <w:rsid w:val="453C3A2F"/>
    <w:rsid w:val="454B6ACE"/>
    <w:rsid w:val="45527A35"/>
    <w:rsid w:val="455E0140"/>
    <w:rsid w:val="45777ABA"/>
    <w:rsid w:val="458868E4"/>
    <w:rsid w:val="45B73827"/>
    <w:rsid w:val="45CB76BF"/>
    <w:rsid w:val="45D75786"/>
    <w:rsid w:val="45F57209"/>
    <w:rsid w:val="46087584"/>
    <w:rsid w:val="460C72D8"/>
    <w:rsid w:val="46381AFE"/>
    <w:rsid w:val="468B4486"/>
    <w:rsid w:val="469A4603"/>
    <w:rsid w:val="46A85E13"/>
    <w:rsid w:val="46AC4B10"/>
    <w:rsid w:val="46B35583"/>
    <w:rsid w:val="47617C80"/>
    <w:rsid w:val="47631748"/>
    <w:rsid w:val="477D3D4C"/>
    <w:rsid w:val="47921365"/>
    <w:rsid w:val="47A65945"/>
    <w:rsid w:val="47FE42A7"/>
    <w:rsid w:val="480E3830"/>
    <w:rsid w:val="48471121"/>
    <w:rsid w:val="48847CC1"/>
    <w:rsid w:val="488D6562"/>
    <w:rsid w:val="48904C92"/>
    <w:rsid w:val="48990B20"/>
    <w:rsid w:val="48EA718F"/>
    <w:rsid w:val="49256E64"/>
    <w:rsid w:val="497E1B09"/>
    <w:rsid w:val="49DD2DAD"/>
    <w:rsid w:val="49E430B1"/>
    <w:rsid w:val="4A3155C2"/>
    <w:rsid w:val="4A6950BE"/>
    <w:rsid w:val="4ABB01BC"/>
    <w:rsid w:val="4AEA5CA5"/>
    <w:rsid w:val="4AEC1E08"/>
    <w:rsid w:val="4B073A8B"/>
    <w:rsid w:val="4B116D14"/>
    <w:rsid w:val="4B2B2279"/>
    <w:rsid w:val="4B4E6260"/>
    <w:rsid w:val="4B5A3030"/>
    <w:rsid w:val="4B88378A"/>
    <w:rsid w:val="4BD001E8"/>
    <w:rsid w:val="4BE07B96"/>
    <w:rsid w:val="4BE52A5F"/>
    <w:rsid w:val="4BFE2806"/>
    <w:rsid w:val="4C0D2CA8"/>
    <w:rsid w:val="4C35238D"/>
    <w:rsid w:val="4C3C2620"/>
    <w:rsid w:val="4C6659F5"/>
    <w:rsid w:val="4C671FA3"/>
    <w:rsid w:val="4C6F0B8F"/>
    <w:rsid w:val="4D623EBF"/>
    <w:rsid w:val="4D7F1953"/>
    <w:rsid w:val="4DB26421"/>
    <w:rsid w:val="4E321BE1"/>
    <w:rsid w:val="4E7D33F0"/>
    <w:rsid w:val="4EA104B8"/>
    <w:rsid w:val="4EAE2AB1"/>
    <w:rsid w:val="4EC165E1"/>
    <w:rsid w:val="4F0657EE"/>
    <w:rsid w:val="4F1556CD"/>
    <w:rsid w:val="4F2512F1"/>
    <w:rsid w:val="4F3F5D19"/>
    <w:rsid w:val="4F4F7581"/>
    <w:rsid w:val="4F716E29"/>
    <w:rsid w:val="4F733F9C"/>
    <w:rsid w:val="4F9E12BA"/>
    <w:rsid w:val="4FA75DDB"/>
    <w:rsid w:val="4FAF1043"/>
    <w:rsid w:val="4FCD7AD8"/>
    <w:rsid w:val="4FE475CB"/>
    <w:rsid w:val="4FED2778"/>
    <w:rsid w:val="502C240D"/>
    <w:rsid w:val="504F4AA3"/>
    <w:rsid w:val="5097119E"/>
    <w:rsid w:val="50F524CB"/>
    <w:rsid w:val="51293854"/>
    <w:rsid w:val="51412545"/>
    <w:rsid w:val="51741BE7"/>
    <w:rsid w:val="519A5B38"/>
    <w:rsid w:val="519C184E"/>
    <w:rsid w:val="51A2005D"/>
    <w:rsid w:val="51E15BFC"/>
    <w:rsid w:val="52002C5E"/>
    <w:rsid w:val="52535E0E"/>
    <w:rsid w:val="52621CB9"/>
    <w:rsid w:val="52AF201A"/>
    <w:rsid w:val="52BA4C86"/>
    <w:rsid w:val="52DC7EC6"/>
    <w:rsid w:val="52FE4D9A"/>
    <w:rsid w:val="530B5EEE"/>
    <w:rsid w:val="534F5DFF"/>
    <w:rsid w:val="53FF1187"/>
    <w:rsid w:val="540535E1"/>
    <w:rsid w:val="540B3888"/>
    <w:rsid w:val="54245746"/>
    <w:rsid w:val="546D2E12"/>
    <w:rsid w:val="548F00D5"/>
    <w:rsid w:val="54C47F88"/>
    <w:rsid w:val="54D23164"/>
    <w:rsid w:val="54D42D7E"/>
    <w:rsid w:val="5522738C"/>
    <w:rsid w:val="552B3E4D"/>
    <w:rsid w:val="55375048"/>
    <w:rsid w:val="557A5983"/>
    <w:rsid w:val="55AF1E7E"/>
    <w:rsid w:val="55B93306"/>
    <w:rsid w:val="55D140FB"/>
    <w:rsid w:val="56794A85"/>
    <w:rsid w:val="56E0412E"/>
    <w:rsid w:val="56EF0EFF"/>
    <w:rsid w:val="57254C6A"/>
    <w:rsid w:val="57427AD2"/>
    <w:rsid w:val="577A1C81"/>
    <w:rsid w:val="57BE62A5"/>
    <w:rsid w:val="57D90FDE"/>
    <w:rsid w:val="57F86D1F"/>
    <w:rsid w:val="57FF212E"/>
    <w:rsid w:val="58161E76"/>
    <w:rsid w:val="585C53E4"/>
    <w:rsid w:val="58B85C84"/>
    <w:rsid w:val="597C3FD8"/>
    <w:rsid w:val="597D6255"/>
    <w:rsid w:val="59821673"/>
    <w:rsid w:val="59910DEA"/>
    <w:rsid w:val="59BD1518"/>
    <w:rsid w:val="59E82438"/>
    <w:rsid w:val="59F8344D"/>
    <w:rsid w:val="5A334F3C"/>
    <w:rsid w:val="5A43553E"/>
    <w:rsid w:val="5A47622C"/>
    <w:rsid w:val="5A520ED5"/>
    <w:rsid w:val="5A65093E"/>
    <w:rsid w:val="5A6D2580"/>
    <w:rsid w:val="5A75279D"/>
    <w:rsid w:val="5A757597"/>
    <w:rsid w:val="5A9B5293"/>
    <w:rsid w:val="5AA414F6"/>
    <w:rsid w:val="5AE135D0"/>
    <w:rsid w:val="5B676B3B"/>
    <w:rsid w:val="5B8167E8"/>
    <w:rsid w:val="5BA20963"/>
    <w:rsid w:val="5BB343AD"/>
    <w:rsid w:val="5BE11F49"/>
    <w:rsid w:val="5BE410F1"/>
    <w:rsid w:val="5BFE5CAA"/>
    <w:rsid w:val="5C3671E8"/>
    <w:rsid w:val="5C4936FC"/>
    <w:rsid w:val="5C584ECF"/>
    <w:rsid w:val="5C6314DB"/>
    <w:rsid w:val="5C760AAF"/>
    <w:rsid w:val="5D3E66A7"/>
    <w:rsid w:val="5D906EEC"/>
    <w:rsid w:val="5DC64BAE"/>
    <w:rsid w:val="5DFB266C"/>
    <w:rsid w:val="5E427AE8"/>
    <w:rsid w:val="5F150D18"/>
    <w:rsid w:val="5F1647D2"/>
    <w:rsid w:val="5F742577"/>
    <w:rsid w:val="5FAE2043"/>
    <w:rsid w:val="5FE4222A"/>
    <w:rsid w:val="601631FF"/>
    <w:rsid w:val="6082518F"/>
    <w:rsid w:val="60BC5B35"/>
    <w:rsid w:val="611856C0"/>
    <w:rsid w:val="6162037E"/>
    <w:rsid w:val="61635AF6"/>
    <w:rsid w:val="617E5FD1"/>
    <w:rsid w:val="61B06DCA"/>
    <w:rsid w:val="61D6373A"/>
    <w:rsid w:val="61D7381D"/>
    <w:rsid w:val="61F908EC"/>
    <w:rsid w:val="62187C6E"/>
    <w:rsid w:val="626E10F6"/>
    <w:rsid w:val="627A23EE"/>
    <w:rsid w:val="628D2613"/>
    <w:rsid w:val="63254BA7"/>
    <w:rsid w:val="63450A73"/>
    <w:rsid w:val="63DD38FD"/>
    <w:rsid w:val="63F25D2D"/>
    <w:rsid w:val="641A2277"/>
    <w:rsid w:val="641A2CD2"/>
    <w:rsid w:val="646049F7"/>
    <w:rsid w:val="64612DFA"/>
    <w:rsid w:val="646B3A07"/>
    <w:rsid w:val="64704E5F"/>
    <w:rsid w:val="649C79ED"/>
    <w:rsid w:val="64A05ADB"/>
    <w:rsid w:val="64E20F04"/>
    <w:rsid w:val="64FD6835"/>
    <w:rsid w:val="65190796"/>
    <w:rsid w:val="65262B83"/>
    <w:rsid w:val="65524FB8"/>
    <w:rsid w:val="656678F1"/>
    <w:rsid w:val="658A185C"/>
    <w:rsid w:val="6596645B"/>
    <w:rsid w:val="66042BA6"/>
    <w:rsid w:val="66103F76"/>
    <w:rsid w:val="66234C74"/>
    <w:rsid w:val="66427E17"/>
    <w:rsid w:val="6648290F"/>
    <w:rsid w:val="66724580"/>
    <w:rsid w:val="668B1C71"/>
    <w:rsid w:val="66992F59"/>
    <w:rsid w:val="66BA23F9"/>
    <w:rsid w:val="66C4289F"/>
    <w:rsid w:val="66C80F2B"/>
    <w:rsid w:val="66E15F04"/>
    <w:rsid w:val="670D6B70"/>
    <w:rsid w:val="67356372"/>
    <w:rsid w:val="67497513"/>
    <w:rsid w:val="677A35B1"/>
    <w:rsid w:val="679E6031"/>
    <w:rsid w:val="67A212BF"/>
    <w:rsid w:val="67AE5C90"/>
    <w:rsid w:val="67CF11FF"/>
    <w:rsid w:val="67D6059D"/>
    <w:rsid w:val="67ED3FB7"/>
    <w:rsid w:val="68256992"/>
    <w:rsid w:val="68394EFC"/>
    <w:rsid w:val="684F2507"/>
    <w:rsid w:val="689F0232"/>
    <w:rsid w:val="68AE0017"/>
    <w:rsid w:val="699E4089"/>
    <w:rsid w:val="69BB10D7"/>
    <w:rsid w:val="6A1D468D"/>
    <w:rsid w:val="6A31374D"/>
    <w:rsid w:val="6A4F4594"/>
    <w:rsid w:val="6A710615"/>
    <w:rsid w:val="6A7D4E50"/>
    <w:rsid w:val="6AAD4B15"/>
    <w:rsid w:val="6AB40474"/>
    <w:rsid w:val="6B4B054E"/>
    <w:rsid w:val="6B663F89"/>
    <w:rsid w:val="6B9E476E"/>
    <w:rsid w:val="6BC6698F"/>
    <w:rsid w:val="6BD65F02"/>
    <w:rsid w:val="6C1A7423"/>
    <w:rsid w:val="6C1A7FE3"/>
    <w:rsid w:val="6C40105E"/>
    <w:rsid w:val="6C5A2B5C"/>
    <w:rsid w:val="6CC41683"/>
    <w:rsid w:val="6D1936CA"/>
    <w:rsid w:val="6D1940FB"/>
    <w:rsid w:val="6D3328B6"/>
    <w:rsid w:val="6D3F37BE"/>
    <w:rsid w:val="6D4C135B"/>
    <w:rsid w:val="6DA1087E"/>
    <w:rsid w:val="6DCD337A"/>
    <w:rsid w:val="6E20655C"/>
    <w:rsid w:val="6E257D7A"/>
    <w:rsid w:val="6E4F2832"/>
    <w:rsid w:val="6E982F95"/>
    <w:rsid w:val="6EDF62D1"/>
    <w:rsid w:val="6EF0240B"/>
    <w:rsid w:val="6F2F7E8A"/>
    <w:rsid w:val="6F305408"/>
    <w:rsid w:val="6F35589A"/>
    <w:rsid w:val="6F753F20"/>
    <w:rsid w:val="6F7B4DC3"/>
    <w:rsid w:val="6F921CA8"/>
    <w:rsid w:val="6F9B0F15"/>
    <w:rsid w:val="6FFE77AF"/>
    <w:rsid w:val="700F48A2"/>
    <w:rsid w:val="70390741"/>
    <w:rsid w:val="70706B0B"/>
    <w:rsid w:val="707D36E5"/>
    <w:rsid w:val="70911577"/>
    <w:rsid w:val="70A464B7"/>
    <w:rsid w:val="70CA5D47"/>
    <w:rsid w:val="70D83839"/>
    <w:rsid w:val="71780474"/>
    <w:rsid w:val="717E6E2D"/>
    <w:rsid w:val="71A3017C"/>
    <w:rsid w:val="71B4273F"/>
    <w:rsid w:val="71C23D15"/>
    <w:rsid w:val="71E10CE8"/>
    <w:rsid w:val="71F975CC"/>
    <w:rsid w:val="72021E5C"/>
    <w:rsid w:val="723B6DD6"/>
    <w:rsid w:val="727C6C4A"/>
    <w:rsid w:val="728A5A89"/>
    <w:rsid w:val="72C24DEB"/>
    <w:rsid w:val="72E57D93"/>
    <w:rsid w:val="7315130A"/>
    <w:rsid w:val="732D1CE5"/>
    <w:rsid w:val="73601D58"/>
    <w:rsid w:val="736B6DB9"/>
    <w:rsid w:val="737025A5"/>
    <w:rsid w:val="73BF4B35"/>
    <w:rsid w:val="73DC49B3"/>
    <w:rsid w:val="741A15ED"/>
    <w:rsid w:val="745D4023"/>
    <w:rsid w:val="74A449B1"/>
    <w:rsid w:val="74ED2746"/>
    <w:rsid w:val="750A5280"/>
    <w:rsid w:val="751229C7"/>
    <w:rsid w:val="751460B4"/>
    <w:rsid w:val="752C13D5"/>
    <w:rsid w:val="75382625"/>
    <w:rsid w:val="758C7F56"/>
    <w:rsid w:val="75D663A5"/>
    <w:rsid w:val="75E05445"/>
    <w:rsid w:val="7609632E"/>
    <w:rsid w:val="762D65B7"/>
    <w:rsid w:val="763D484A"/>
    <w:rsid w:val="764168C0"/>
    <w:rsid w:val="76754FA2"/>
    <w:rsid w:val="76B45ECE"/>
    <w:rsid w:val="76CC0D62"/>
    <w:rsid w:val="76CC564E"/>
    <w:rsid w:val="77054BAD"/>
    <w:rsid w:val="770F2BE2"/>
    <w:rsid w:val="776B120B"/>
    <w:rsid w:val="777558ED"/>
    <w:rsid w:val="778F47BB"/>
    <w:rsid w:val="779F6D64"/>
    <w:rsid w:val="77B56964"/>
    <w:rsid w:val="77FE17B6"/>
    <w:rsid w:val="781A0A3D"/>
    <w:rsid w:val="781B381E"/>
    <w:rsid w:val="782C0FF4"/>
    <w:rsid w:val="78502A8F"/>
    <w:rsid w:val="788554F3"/>
    <w:rsid w:val="78862344"/>
    <w:rsid w:val="78D43FE0"/>
    <w:rsid w:val="78E02CD0"/>
    <w:rsid w:val="78E40DD3"/>
    <w:rsid w:val="791945D3"/>
    <w:rsid w:val="795101E1"/>
    <w:rsid w:val="79613E23"/>
    <w:rsid w:val="799364FE"/>
    <w:rsid w:val="79A61915"/>
    <w:rsid w:val="7A2E7782"/>
    <w:rsid w:val="7A6B12A6"/>
    <w:rsid w:val="7A980BCA"/>
    <w:rsid w:val="7AB12AD4"/>
    <w:rsid w:val="7AC520C2"/>
    <w:rsid w:val="7AE41DFF"/>
    <w:rsid w:val="7AF91320"/>
    <w:rsid w:val="7B1F52AB"/>
    <w:rsid w:val="7B504B4E"/>
    <w:rsid w:val="7B974CDB"/>
    <w:rsid w:val="7BBC462E"/>
    <w:rsid w:val="7C51605C"/>
    <w:rsid w:val="7C9640ED"/>
    <w:rsid w:val="7CB33DC1"/>
    <w:rsid w:val="7D0D32C4"/>
    <w:rsid w:val="7D2F1950"/>
    <w:rsid w:val="7DCB4E26"/>
    <w:rsid w:val="7E0250FE"/>
    <w:rsid w:val="7E134B1D"/>
    <w:rsid w:val="7E1C2967"/>
    <w:rsid w:val="7E222792"/>
    <w:rsid w:val="7E560486"/>
    <w:rsid w:val="7E5A7834"/>
    <w:rsid w:val="7E5D1445"/>
    <w:rsid w:val="7E8D0268"/>
    <w:rsid w:val="7F7E74FD"/>
    <w:rsid w:val="7F855BAA"/>
    <w:rsid w:val="7FD300B9"/>
    <w:rsid w:val="7FEB0E56"/>
    <w:rsid w:val="7FF52DF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adelacruz</cp:lastModifiedBy>
  <dcterms:modified xsi:type="dcterms:W3CDTF">2021-10-19T15:51:40Z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