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spacing w:line="360" w:lineRule="auto"/>
        <w:ind w:left="880"/>
      </w:pPr>
      <w:bookmarkStart w:id="0" w:name="_Hlk112316845"/>
      <w:bookmarkEnd w:id="0"/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4472C4" w:themeColor="accent1"/>
          <w:sz w:val="56"/>
          <w:szCs w:val="56"/>
          <w:lang w:val="es-ES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ascii="Arial" w:hAnsi="Arial"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  <w:t>MANUAL DE USUARIO</w:t>
      </w:r>
    </w:p>
    <w:p>
      <w:pPr>
        <w:spacing w:line="360" w:lineRule="auto"/>
        <w:jc w:val="center"/>
        <w:rPr>
          <w:rFonts w:ascii="Arial" w:hAnsi="Arial" w:cs="Arial"/>
          <w:color w:val="4472C4" w:themeColor="accent1"/>
          <w:sz w:val="56"/>
          <w:szCs w:val="56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Arial" w:hAnsi="Arial" w:cs="Arial"/>
          <w:color w:val="4472C4" w:themeColor="accent1"/>
          <w:sz w:val="56"/>
          <w:szCs w:val="56"/>
          <w:lang w:val="es-ES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default" w:ascii="Arial" w:hAnsi="Arial"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  <w:t>REPORTE DE ESTADO DE</w:t>
      </w:r>
      <w:r>
        <w:rPr>
          <w:rFonts w:hint="default" w:ascii="Arial" w:hAnsi="Arial"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Arial" w:hAnsi="Arial" w:cs="Arial"/>
          <w:color w:val="4472C4" w:themeColor="accent1"/>
          <w:sz w:val="56"/>
          <w:szCs w:val="56"/>
          <w:lang w:val="es-ES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default" w:ascii="Arial" w:hAnsi="Arial"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  <w:t>CUOTA DE CONVENIO.</w:t>
      </w:r>
    </w:p>
    <w:p>
      <w:pPr>
        <w:spacing w:after="0"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Pág.</w:t>
      </w:r>
    </w:p>
    <w:p>
      <w:pPr>
        <w:pStyle w:val="17"/>
        <w:tabs>
          <w:tab w:val="right" w:leader="dot" w:pos="9975"/>
        </w:tabs>
      </w:pPr>
      <w:r>
        <w:rPr>
          <w:rFonts w:ascii="Arial" w:hAnsi="Arial" w:cs="Arial"/>
          <w:sz w:val="24"/>
          <w:szCs w:val="24"/>
          <w:lang w:eastAsia="zh-CN"/>
        </w:rPr>
        <w:fldChar w:fldCharType="begin"/>
      </w:r>
      <w:r>
        <w:rPr>
          <w:rFonts w:ascii="Arial" w:hAnsi="Arial" w:cs="Arial"/>
          <w:sz w:val="24"/>
          <w:szCs w:val="24"/>
          <w:lang w:eastAsia="zh-CN"/>
        </w:rPr>
        <w:instrText xml:space="preserve">TOC \o "1-5" \h \u </w:instrText>
      </w:r>
      <w:r>
        <w:rPr>
          <w:rFonts w:ascii="Arial" w:hAnsi="Arial" w:cs="Arial"/>
          <w:sz w:val="24"/>
          <w:szCs w:val="24"/>
          <w:lang w:eastAsia="zh-CN"/>
        </w:rPr>
        <w:fldChar w:fldCharType="separate"/>
      </w:r>
      <w:r>
        <w:rPr>
          <w:rFonts w:ascii="Arial" w:hAnsi="Arial" w:cs="Arial"/>
          <w:szCs w:val="24"/>
          <w:lang w:eastAsia="zh-CN"/>
        </w:rPr>
        <w:fldChar w:fldCharType="begin"/>
      </w:r>
      <w:r>
        <w:rPr>
          <w:rFonts w:ascii="Arial" w:hAnsi="Arial" w:cs="Arial"/>
          <w:szCs w:val="24"/>
          <w:lang w:eastAsia="zh-CN"/>
        </w:rPr>
        <w:instrText xml:space="preserve"> HYPERLINK \l _Toc16143 </w:instrText>
      </w:r>
      <w:r>
        <w:rPr>
          <w:rFonts w:ascii="Arial" w:hAnsi="Arial" w:cs="Arial"/>
          <w:szCs w:val="24"/>
          <w:lang w:eastAsia="zh-CN"/>
        </w:rPr>
        <w:fldChar w:fldCharType="separate"/>
      </w:r>
      <w:r>
        <w:rPr>
          <w:lang w:eastAsia="zh-CN"/>
        </w:rPr>
        <w:t>GESTIÓN DE REPORTES</w:t>
      </w:r>
      <w:r>
        <w:tab/>
      </w:r>
      <w:r>
        <w:fldChar w:fldCharType="begin"/>
      </w:r>
      <w:r>
        <w:instrText xml:space="preserve"> PAGEREF _Toc16143 \h </w:instrText>
      </w:r>
      <w:r>
        <w:fldChar w:fldCharType="separate"/>
      </w:r>
      <w:r>
        <w:t>2</w:t>
      </w:r>
      <w:r>
        <w:fldChar w:fldCharType="end"/>
      </w:r>
      <w:r>
        <w:rPr>
          <w:rFonts w:ascii="Arial" w:hAnsi="Arial" w:cs="Arial"/>
          <w:szCs w:val="24"/>
          <w:lang w:eastAsia="zh-CN"/>
        </w:rPr>
        <w:fldChar w:fldCharType="end"/>
      </w:r>
    </w:p>
    <w:p>
      <w:pPr>
        <w:pStyle w:val="18"/>
        <w:tabs>
          <w:tab w:val="right" w:leader="dot" w:pos="9975"/>
        </w:tabs>
      </w:pPr>
      <w:r>
        <w:rPr>
          <w:rFonts w:ascii="Arial" w:hAnsi="Arial" w:cs="Arial"/>
          <w:szCs w:val="24"/>
          <w:lang w:eastAsia="zh-CN"/>
        </w:rPr>
        <w:fldChar w:fldCharType="begin"/>
      </w:r>
      <w:r>
        <w:rPr>
          <w:rFonts w:ascii="Arial" w:hAnsi="Arial" w:cs="Arial"/>
          <w:szCs w:val="24"/>
          <w:lang w:eastAsia="zh-CN"/>
        </w:rPr>
        <w:instrText xml:space="preserve"> HYPERLINK \l _Toc13425 </w:instrText>
      </w:r>
      <w:r>
        <w:rPr>
          <w:rFonts w:ascii="Arial" w:hAnsi="Arial" w:cs="Arial"/>
          <w:szCs w:val="24"/>
          <w:lang w:eastAsia="zh-CN"/>
        </w:rPr>
        <w:fldChar w:fldCharType="separate"/>
      </w:r>
      <w:r>
        <w:rPr>
          <w:rFonts w:hint="default"/>
          <w:szCs w:val="28"/>
          <w:lang w:eastAsia="zh-CN"/>
        </w:rPr>
        <w:t xml:space="preserve">1. </w:t>
      </w:r>
      <w:r>
        <w:rPr>
          <w:szCs w:val="28"/>
          <w:lang w:eastAsia="zh-CN"/>
        </w:rPr>
        <w:t>Acuerdo de Pago</w:t>
      </w:r>
      <w:r>
        <w:tab/>
      </w:r>
      <w:r>
        <w:fldChar w:fldCharType="begin"/>
      </w:r>
      <w:r>
        <w:instrText xml:space="preserve"> PAGEREF _Toc13425 \h </w:instrText>
      </w:r>
      <w:r>
        <w:fldChar w:fldCharType="separate"/>
      </w:r>
      <w:r>
        <w:t>2</w:t>
      </w:r>
      <w:r>
        <w:fldChar w:fldCharType="end"/>
      </w:r>
      <w:r>
        <w:rPr>
          <w:rFonts w:ascii="Arial" w:hAnsi="Arial" w:cs="Arial"/>
          <w:szCs w:val="24"/>
          <w:lang w:eastAsia="zh-CN"/>
        </w:rPr>
        <w:fldChar w:fldCharType="end"/>
      </w:r>
    </w:p>
    <w:p>
      <w:pPr>
        <w:pStyle w:val="19"/>
        <w:tabs>
          <w:tab w:val="right" w:leader="dot" w:pos="9975"/>
        </w:tabs>
      </w:pPr>
      <w:r>
        <w:rPr>
          <w:rFonts w:ascii="Arial" w:hAnsi="Arial" w:cs="Arial"/>
          <w:szCs w:val="24"/>
          <w:lang w:eastAsia="zh-CN"/>
        </w:rPr>
        <w:fldChar w:fldCharType="begin"/>
      </w:r>
      <w:r>
        <w:rPr>
          <w:rFonts w:ascii="Arial" w:hAnsi="Arial" w:cs="Arial"/>
          <w:szCs w:val="24"/>
          <w:lang w:eastAsia="zh-CN"/>
        </w:rPr>
        <w:instrText xml:space="preserve"> HYPERLINK \l _Toc28046 </w:instrText>
      </w:r>
      <w:r>
        <w:rPr>
          <w:rFonts w:ascii="Arial" w:hAnsi="Arial" w:cs="Arial"/>
          <w:szCs w:val="24"/>
          <w:lang w:eastAsia="zh-CN"/>
        </w:rPr>
        <w:fldChar w:fldCharType="separate"/>
      </w:r>
      <w:r>
        <w:rPr>
          <w:lang w:eastAsia="zh-CN"/>
        </w:rPr>
        <w:t>1.1. Estado de Cuotas de Convenio</w:t>
      </w:r>
      <w:r>
        <w:tab/>
      </w:r>
      <w:r>
        <w:fldChar w:fldCharType="begin"/>
      </w:r>
      <w:r>
        <w:instrText xml:space="preserve"> PAGEREF _Toc28046 \h </w:instrText>
      </w:r>
      <w:r>
        <w:fldChar w:fldCharType="separate"/>
      </w:r>
      <w:r>
        <w:t>2</w:t>
      </w:r>
      <w:r>
        <w:fldChar w:fldCharType="end"/>
      </w:r>
      <w:r>
        <w:rPr>
          <w:rFonts w:ascii="Arial" w:hAnsi="Arial" w:cs="Arial"/>
          <w:szCs w:val="24"/>
          <w:lang w:eastAsia="zh-CN"/>
        </w:rPr>
        <w:fldChar w:fldCharType="end"/>
      </w:r>
    </w:p>
    <w:p>
      <w:pPr>
        <w:pStyle w:val="19"/>
        <w:tabs>
          <w:tab w:val="right" w:leader="dot" w:pos="9975"/>
        </w:tabs>
        <w:spacing w:line="360" w:lineRule="auto"/>
        <w:ind w:left="141" w:leftChars="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  <w:lang w:eastAsia="zh-CN"/>
        </w:rPr>
        <w:fldChar w:fldCharType="end"/>
      </w:r>
    </w:p>
    <w:p>
      <w:pPr>
        <w:spacing w:line="360" w:lineRule="auto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br w:type="page"/>
      </w:r>
      <w:bookmarkStart w:id="9" w:name="_GoBack"/>
      <w:bookmarkEnd w:id="9"/>
    </w:p>
    <w:p>
      <w:pPr>
        <w:pStyle w:val="2"/>
        <w:rPr>
          <w:lang w:eastAsia="zh-CN"/>
        </w:rPr>
      </w:pPr>
      <w:r>
        <w:rPr>
          <w:lang w:eastAsia="zh-CN"/>
        </w:rPr>
        <w:tab/>
      </w:r>
      <w:bookmarkStart w:id="1" w:name="_Toc16143"/>
      <w:bookmarkStart w:id="2" w:name="_Hlk112412868"/>
      <w:r>
        <w:rPr>
          <w:lang w:eastAsia="zh-CN"/>
        </w:rPr>
        <w:t>GESTIÓN DE REPORTES</w:t>
      </w:r>
      <w:bookmarkEnd w:id="1"/>
    </w:p>
    <w:bookmarkEnd w:id="2"/>
    <w:p>
      <w:pPr>
        <w:pStyle w:val="3"/>
        <w:numPr>
          <w:ilvl w:val="0"/>
          <w:numId w:val="1"/>
        </w:numPr>
        <w:tabs>
          <w:tab w:val="clear" w:pos="425"/>
        </w:tabs>
        <w:ind w:hanging="283"/>
        <w:rPr>
          <w:sz w:val="28"/>
          <w:szCs w:val="28"/>
          <w:lang w:eastAsia="zh-CN"/>
        </w:rPr>
      </w:pPr>
      <w:bookmarkStart w:id="3" w:name="_Toc13425"/>
      <w:bookmarkStart w:id="4" w:name="_Hlk112412876"/>
      <w:r>
        <w:rPr>
          <w:sz w:val="28"/>
          <w:szCs w:val="28"/>
          <w:lang w:eastAsia="zh-CN"/>
        </w:rPr>
        <w:t>Acuerdo de Pago</w:t>
      </w:r>
      <w:bookmarkEnd w:id="3"/>
    </w:p>
    <w:bookmarkEnd w:id="4"/>
    <w:p>
      <w:pPr>
        <w:pStyle w:val="4"/>
        <w:numPr>
          <w:ilvl w:val="1"/>
          <w:numId w:val="2"/>
        </w:numPr>
        <w:spacing w:before="0"/>
        <w:ind w:left="0" w:firstLine="142"/>
        <w:rPr>
          <w:lang w:eastAsia="zh-CN"/>
        </w:rPr>
      </w:pPr>
      <w:bookmarkStart w:id="5" w:name="_Toc28046"/>
      <w:bookmarkStart w:id="6" w:name="_Hlk112412916"/>
      <w:r>
        <w:rPr>
          <w:lang w:eastAsia="zh-CN"/>
        </w:rPr>
        <w:t>Estado de Cuotas de Convenio</w:t>
      </w:r>
      <w:bookmarkEnd w:id="5"/>
      <w:r>
        <w:rPr>
          <w:lang w:eastAsia="zh-CN"/>
        </w:rPr>
        <w:t xml:space="preserve"> </w:t>
      </w:r>
    </w:p>
    <w:bookmarkEnd w:id="6"/>
    <w:p>
      <w:pPr>
        <w:spacing w:after="0" w:line="360" w:lineRule="auto"/>
        <w:ind w:left="142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>La ruta de acceso al módulo es la siguiente:</w:t>
      </w:r>
    </w:p>
    <w:p>
      <w:pPr>
        <w:spacing w:after="0" w:line="360" w:lineRule="auto"/>
        <w:ind w:left="142"/>
        <w:rPr>
          <w:rFonts w:ascii="Arial" w:hAnsi="Arial" w:eastAsia="Arial MT" w:cs="Arial"/>
          <w:b/>
          <w:bCs/>
          <w:lang w:eastAsia="zh-CN"/>
        </w:rPr>
      </w:pPr>
      <w:r>
        <w:rPr>
          <w:rFonts w:ascii="Arial" w:hAnsi="Arial" w:eastAsia="Arial MT" w:cs="Arial"/>
          <w:b/>
          <w:bCs/>
          <w:lang w:eastAsia="zh-CN"/>
        </w:rPr>
        <w:t>Gestión de Reportes &gt; Acuerdo de Pago &gt; Estado de Cuotas de Convenio</w:t>
      </w:r>
    </w:p>
    <w:p>
      <w:pPr>
        <w:spacing w:after="0" w:line="360" w:lineRule="auto"/>
        <w:ind w:left="142"/>
        <w:rPr>
          <w:rFonts w:ascii="Arial" w:hAnsi="Arial" w:eastAsia="Arial MT" w:cs="Arial"/>
          <w:b/>
          <w:bCs/>
          <w:lang w:eastAsia="zh-CN"/>
        </w:rPr>
      </w:pPr>
    </w:p>
    <w:p>
      <w:pPr>
        <w:keepNext/>
        <w:spacing w:line="360" w:lineRule="auto"/>
        <w:jc w:val="center"/>
      </w:pPr>
      <w:r>
        <w:drawing>
          <wp:inline distT="0" distB="0" distL="0" distR="0">
            <wp:extent cx="4707255" cy="763270"/>
            <wp:effectExtent l="19050" t="19050" r="17145" b="177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7632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t xml:space="preserve">Imagen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t xml:space="preserve">. </w:t>
      </w:r>
      <w:r>
        <w:rPr>
          <w:rFonts w:eastAsiaTheme="majorEastAsia"/>
          <w:i/>
          <w:iCs/>
          <w:color w:val="0070C0"/>
          <w:sz w:val="18"/>
          <w:szCs w:val="18"/>
        </w:rPr>
        <w:t>Acceso a la opción de Estado de Cuotas de Convenio</w:t>
      </w:r>
    </w:p>
    <w:p>
      <w:pPr>
        <w:pStyle w:val="8"/>
        <w:spacing w:line="360" w:lineRule="auto"/>
        <w:jc w:val="center"/>
      </w:pPr>
    </w:p>
    <w:p>
      <w:pPr>
        <w:spacing w:after="0" w:line="360" w:lineRule="auto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>Posteriormente cargará la siguiente página donde se podrá seleccionar los parámetros requeridos para la generación del reporte.</w:t>
      </w:r>
    </w:p>
    <w:p>
      <w:pPr>
        <w:spacing w:after="0" w:line="360" w:lineRule="auto"/>
        <w:rPr>
          <w:rFonts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keepNext/>
        <w:spacing w:line="360" w:lineRule="auto"/>
      </w:pPr>
      <w:r>
        <w:drawing>
          <wp:inline distT="0" distB="0" distL="0" distR="0">
            <wp:extent cx="6334125" cy="7524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5247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jc w:val="center"/>
      </w:pPr>
      <w:r>
        <w:rPr>
          <w:rFonts w:eastAsiaTheme="majorEastAsia"/>
          <w:i/>
          <w:iCs/>
          <w:color w:val="0070C0"/>
          <w:sz w:val="18"/>
          <w:szCs w:val="18"/>
        </w:rPr>
        <w:t xml:space="preserve">Imagen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2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t xml:space="preserve"> </w:t>
      </w:r>
      <w:r>
        <w:rPr>
          <w:rFonts w:eastAsiaTheme="majorEastAsia"/>
          <w:i/>
          <w:iCs/>
          <w:color w:val="0070C0"/>
          <w:sz w:val="18"/>
          <w:szCs w:val="18"/>
        </w:rPr>
        <w:t>Opción Estado de Cuotas de Convenio.</w:t>
      </w:r>
    </w:p>
    <w:p>
      <w:pPr>
        <w:spacing w:line="360" w:lineRule="auto"/>
        <w:rPr>
          <w:rFonts w:ascii="Arial" w:hAnsi="Arial" w:eastAsia="Arial MT" w:cs="Arial"/>
          <w:sz w:val="20"/>
          <w:szCs w:val="20"/>
          <w:lang w:eastAsia="zh-CN"/>
        </w:rPr>
      </w:pPr>
    </w:p>
    <w:p>
      <w:pPr>
        <w:spacing w:after="0" w:line="360" w:lineRule="auto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>Para iniciar la creación del reporte</w:t>
      </w:r>
      <w:r>
        <w:rPr>
          <w:rFonts w:ascii="Arial" w:hAnsi="Arial" w:eastAsia="Arial MT" w:cs="Arial"/>
          <w:b/>
          <w:bCs/>
          <w:lang w:eastAsia="zh-CN"/>
        </w:rPr>
        <w:t xml:space="preserve"> </w:t>
      </w:r>
      <w:r>
        <w:rPr>
          <w:rFonts w:ascii="Arial" w:hAnsi="Arial" w:eastAsia="Arial MT" w:cs="Arial"/>
          <w:lang w:eastAsia="zh-CN"/>
        </w:rPr>
        <w:t>se requiere:</w:t>
      </w:r>
    </w:p>
    <w:p>
      <w:pPr>
        <w:pStyle w:val="25"/>
        <w:numPr>
          <w:ilvl w:val="0"/>
          <w:numId w:val="3"/>
        </w:numPr>
        <w:spacing w:after="0" w:line="360" w:lineRule="auto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 xml:space="preserve">Seleccionar el </w:t>
      </w:r>
      <w:r>
        <w:rPr>
          <w:rFonts w:ascii="Arial" w:hAnsi="Arial" w:eastAsia="Arial MT" w:cs="Arial"/>
          <w:lang w:val="es-MX" w:eastAsia="zh-CN"/>
        </w:rPr>
        <w:t>Tipo de Acuerdo de Pago</w:t>
      </w:r>
      <w:r>
        <w:rPr>
          <w:rFonts w:ascii="Arial" w:hAnsi="Arial" w:eastAsia="Arial MT" w:cs="Arial"/>
          <w:lang w:eastAsia="zh-CN"/>
        </w:rPr>
        <w:t>.</w:t>
      </w:r>
    </w:p>
    <w:p>
      <w:pPr>
        <w:pStyle w:val="25"/>
        <w:numPr>
          <w:ilvl w:val="0"/>
          <w:numId w:val="3"/>
        </w:numPr>
        <w:spacing w:after="0" w:line="360" w:lineRule="auto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>Escoger el rango de Fecha Inicio Solicitud - Fecha Final Solicitud.</w:t>
      </w:r>
    </w:p>
    <w:p>
      <w:pPr>
        <w:spacing w:after="0" w:line="360" w:lineRule="auto"/>
        <w:rPr>
          <w:rFonts w:ascii="Arial" w:hAnsi="Arial" w:eastAsia="Arial MT" w:cs="Arial"/>
          <w:i/>
          <w:iCs/>
          <w:color w:val="7F7F7F" w:themeColor="background1" w:themeShade="80"/>
          <w:lang w:eastAsia="zh-CN"/>
        </w:rPr>
      </w:pPr>
      <w:r>
        <w:rPr>
          <w:rFonts w:ascii="Arial" w:hAnsi="Arial" w:eastAsia="Arial MT" w:cs="Arial"/>
          <w:lang w:eastAsia="zh-CN"/>
        </w:rPr>
        <w:br w:type="page"/>
      </w:r>
      <w:r>
        <w:rPr>
          <w:rFonts w:ascii="Arial" w:hAnsi="Arial" w:eastAsia="Arial MT" w:cs="Arial"/>
          <w:lang w:eastAsia="zh-CN"/>
        </w:rPr>
        <w:t>Posteriormente de haber seleccionado los parámetros solicitados se desplegará el siguiente reporte como se puede ver en la siguiente imagen.</w:t>
      </w:r>
    </w:p>
    <w:p>
      <w:pPr>
        <w:spacing w:after="0" w:line="360" w:lineRule="auto"/>
        <w:rPr>
          <w:rFonts w:ascii="Arial" w:hAnsi="Arial" w:eastAsia="Arial MT" w:cs="Arial"/>
          <w:lang w:eastAsia="zh-CN"/>
        </w:rPr>
      </w:pPr>
    </w:p>
    <w:p>
      <w:pPr>
        <w:pStyle w:val="25"/>
        <w:keepNext/>
        <w:tabs>
          <w:tab w:val="left" w:pos="1276"/>
        </w:tabs>
        <w:spacing w:after="0" w:line="360" w:lineRule="auto"/>
        <w:ind w:left="1260"/>
        <w:jc w:val="center"/>
      </w:pPr>
      <w:r>
        <w:drawing>
          <wp:inline distT="0" distB="0" distL="0" distR="0">
            <wp:extent cx="4918710" cy="2547620"/>
            <wp:effectExtent l="19050" t="19050" r="15240" b="24130"/>
            <wp:docPr id="10" name="Imagen 10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Tabla, Excel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750" cy="255255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t xml:space="preserve">Imagen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3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eastAsiaTheme="majorEastAsia"/>
          <w:i/>
          <w:iCs/>
          <w:color w:val="0070C0"/>
          <w:sz w:val="18"/>
          <w:szCs w:val="18"/>
        </w:rPr>
        <w:t>.</w:t>
      </w:r>
      <w:r>
        <w:t xml:space="preserve"> </w:t>
      </w:r>
      <w:r>
        <w:rPr>
          <w:rFonts w:eastAsiaTheme="majorEastAsia"/>
          <w:i/>
          <w:iCs/>
          <w:color w:val="0070C0"/>
          <w:sz w:val="18"/>
          <w:szCs w:val="18"/>
        </w:rPr>
        <w:t>Visualización del reporte.</w:t>
      </w:r>
    </w:p>
    <w:p>
      <w:pPr>
        <w:spacing w:line="360" w:lineRule="auto"/>
      </w:pPr>
    </w:p>
    <w:p>
      <w:pPr>
        <w:spacing w:after="0" w:line="360" w:lineRule="auto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>Para iniciar el proceso de descarga del reporte:</w:t>
      </w:r>
    </w:p>
    <w:p>
      <w:pPr>
        <w:spacing w:after="0" w:line="360" w:lineRule="auto"/>
        <w:rPr>
          <w:rFonts w:ascii="Arial" w:hAnsi="Arial" w:eastAsia="Arial MT" w:cs="Arial"/>
          <w:lang w:eastAsia="zh-CN"/>
        </w:rPr>
      </w:pPr>
    </w:p>
    <w:p>
      <w:pPr>
        <w:keepNext/>
        <w:spacing w:after="0" w:line="360" w:lineRule="auto"/>
        <w:jc w:val="center"/>
      </w:pPr>
      <w:r>
        <w:drawing>
          <wp:inline distT="0" distB="0" distL="0" distR="0">
            <wp:extent cx="1282700" cy="2038350"/>
            <wp:effectExtent l="19050" t="19050" r="1270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024" cy="204502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t xml:space="preserve">Imagen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4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eastAsiaTheme="majorEastAsia"/>
          <w:i/>
          <w:iCs/>
          <w:color w:val="0070C0"/>
          <w:sz w:val="18"/>
          <w:szCs w:val="18"/>
        </w:rPr>
        <w:t>. Proceso de descarga del reporte.</w:t>
      </w:r>
    </w:p>
    <w:p>
      <w:pPr>
        <w:spacing w:after="0" w:line="360" w:lineRule="auto"/>
        <w:rPr>
          <w:rFonts w:ascii="Arial" w:hAnsi="Arial" w:eastAsia="Arial MT" w:cs="Arial"/>
          <w:lang w:eastAsia="zh-CN"/>
        </w:rPr>
      </w:pPr>
    </w:p>
    <w:p>
      <w:pPr>
        <w:pStyle w:val="25"/>
        <w:numPr>
          <w:ilvl w:val="3"/>
          <w:numId w:val="3"/>
        </w:numPr>
        <w:spacing w:after="0" w:line="360" w:lineRule="auto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 xml:space="preserve">Clic en el botón </w:t>
      </w:r>
      <w:r>
        <w:drawing>
          <wp:inline distT="0" distB="0" distL="0" distR="0">
            <wp:extent cx="510540" cy="208915"/>
            <wp:effectExtent l="0" t="0" r="381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54" cy="21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 MT" w:cs="Arial"/>
          <w:lang w:eastAsia="zh-CN"/>
        </w:rPr>
        <w:t xml:space="preserve"> para desplegar el listado de opciones</w:t>
      </w:r>
    </w:p>
    <w:p>
      <w:pPr>
        <w:pStyle w:val="25"/>
        <w:numPr>
          <w:ilvl w:val="0"/>
          <w:numId w:val="0"/>
        </w:numPr>
        <w:spacing w:after="0" w:line="360" w:lineRule="auto"/>
        <w:ind w:leftChars="0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val="es-ES" w:eastAsia="zh-CN"/>
        </w:rPr>
        <w:t xml:space="preserve">2. </w:t>
      </w:r>
      <w:r>
        <w:rPr>
          <w:rFonts w:ascii="Arial" w:hAnsi="Arial" w:eastAsia="Arial MT" w:cs="Arial"/>
          <w:lang w:eastAsia="zh-CN"/>
        </w:rPr>
        <w:t xml:space="preserve">Seleccionar la opción </w:t>
      </w:r>
      <w:r>
        <w:rPr>
          <w:rFonts w:ascii="Arial" w:hAnsi="Arial" w:eastAsia="Arial MT" w:cs="Arial"/>
          <w:lang w:eastAsia="zh-CN"/>
        </w:rPr>
        <w:drawing>
          <wp:inline distT="0" distB="0" distL="0" distR="0">
            <wp:extent cx="825500" cy="2082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8038" cy="2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 MT" w:cs="Arial"/>
          <w:lang w:val="es-ES" w:eastAsia="zh-CN"/>
        </w:rPr>
        <w:t xml:space="preserve"> </w:t>
      </w:r>
      <w:r>
        <w:rPr>
          <w:rFonts w:hint="default" w:ascii="Arial" w:hAnsi="Arial" w:eastAsia="Arial MT" w:cs="Arial"/>
          <w:lang w:eastAsia="zh-CN"/>
        </w:rPr>
        <w:t>Posteriormente de haber seleccionado la opción de descarga aparecerá la siguiente ventana emergente la cual no</w:t>
      </w:r>
      <w:r>
        <w:rPr>
          <w:rFonts w:hint="default" w:ascii="Arial" w:hAnsi="Arial" w:eastAsia="Arial MT" w:cs="Arial"/>
          <w:lang w:val="es-ES" w:eastAsia="zh-CN"/>
        </w:rPr>
        <w:t>s</w:t>
      </w:r>
      <w:r>
        <w:rPr>
          <w:rFonts w:hint="default" w:ascii="Arial" w:hAnsi="Arial" w:eastAsia="Arial MT" w:cs="Arial"/>
          <w:lang w:eastAsia="zh-CN"/>
        </w:rPr>
        <w:t xml:space="preserve"> dará como opción descargar el informe en</w:t>
      </w:r>
      <w:r>
        <w:rPr>
          <w:rFonts w:hint="default" w:ascii="Arial" w:hAnsi="Arial" w:eastAsia="Arial MT" w:cs="Arial"/>
          <w:lang w:val="es-ES" w:eastAsia="zh-CN"/>
        </w:rPr>
        <w:t xml:space="preserve"> </w:t>
      </w:r>
      <w:r>
        <w:rPr>
          <w:rFonts w:hint="default" w:ascii="Arial" w:hAnsi="Arial" w:eastAsia="Arial MT" w:cs="Arial"/>
          <w:lang w:eastAsia="zh-CN"/>
        </w:rPr>
        <w:t xml:space="preserve">formato Excel, seleccionando el icono </w:t>
      </w:r>
      <w:r>
        <w:rPr>
          <w:rFonts w:hint="default" w:ascii="Arial" w:hAnsi="Arial" w:eastAsia="Arial MT" w:cs="Arial"/>
          <w:lang w:eastAsia="zh-CN"/>
        </w:rPr>
        <w:drawing>
          <wp:inline distT="0" distB="0" distL="0" distR="0">
            <wp:extent cx="243205" cy="255905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69" cy="26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 MT" w:cs="Arial"/>
          <w:lang w:eastAsia="zh-CN"/>
        </w:rPr>
        <w:t>.</w:t>
      </w:r>
    </w:p>
    <w:p>
      <w:pPr>
        <w:spacing w:line="360" w:lineRule="auto"/>
        <w:rPr>
          <w:lang w:eastAsia="zh-CN"/>
        </w:rPr>
      </w:pPr>
    </w:p>
    <w:p>
      <w:pPr>
        <w:keepNext/>
        <w:spacing w:line="360" w:lineRule="auto"/>
        <w:jc w:val="center"/>
      </w:pPr>
      <w:r>
        <w:drawing>
          <wp:inline distT="0" distB="0" distL="0" distR="0">
            <wp:extent cx="2190115" cy="2011680"/>
            <wp:effectExtent l="19050" t="19050" r="19685" b="2667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2417" cy="201423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t xml:space="preserve">Imagen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5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eastAsiaTheme="majorEastAsia"/>
          <w:i/>
          <w:iCs/>
          <w:color w:val="0070C0"/>
          <w:sz w:val="18"/>
          <w:szCs w:val="18"/>
        </w:rPr>
        <w:t>. Proceso de descarga del reporte.</w:t>
      </w:r>
    </w:p>
    <w:p>
      <w:pPr>
        <w:spacing w:line="360" w:lineRule="auto"/>
      </w:pPr>
    </w:p>
    <w:p>
      <w:pPr>
        <w:spacing w:line="360" w:lineRule="auto"/>
        <w:rPr>
          <w:rFonts w:ascii="Arial" w:hAnsi="Arial" w:eastAsia="Calibri" w:cs="Arial"/>
        </w:rPr>
      </w:pPr>
      <w:r>
        <w:rPr>
          <w:rFonts w:ascii="Arial" w:hAnsi="Arial" w:eastAsia="Calibri" w:cs="Arial"/>
        </w:rPr>
        <w:t>Una vez terminado el proceso de descarga se generar un reporte como se puede ver en la siguiente imagen.</w:t>
      </w:r>
    </w:p>
    <w:p>
      <w:pPr>
        <w:spacing w:line="360" w:lineRule="auto"/>
        <w:rPr>
          <w:rFonts w:ascii="Arial" w:hAnsi="Arial" w:eastAsia="Calibri" w:cs="Arial"/>
        </w:rPr>
      </w:pPr>
    </w:p>
    <w:p>
      <w:pPr>
        <w:keepNext/>
        <w:spacing w:line="360" w:lineRule="auto"/>
        <w:jc w:val="center"/>
      </w:pPr>
      <w:r>
        <w:drawing>
          <wp:inline distT="0" distB="0" distL="0" distR="0">
            <wp:extent cx="5042535" cy="2298065"/>
            <wp:effectExtent l="19050" t="19050" r="24765" b="260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011" cy="2302856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t xml:space="preserve">Imagen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6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eastAsiaTheme="majorEastAsia"/>
          <w:i/>
          <w:iCs/>
          <w:color w:val="0070C0"/>
          <w:sz w:val="18"/>
          <w:szCs w:val="18"/>
        </w:rPr>
        <w:t>. Visualización del reporte.</w:t>
      </w:r>
    </w:p>
    <w:sectPr>
      <w:headerReference r:id="rId6" w:type="default"/>
      <w:footerReference r:id="rId7" w:type="default"/>
      <w:pgSz w:w="12240" w:h="15840"/>
      <w:pgMar w:top="284" w:right="1325" w:bottom="142" w:left="940" w:header="426" w:footer="145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923" w:type="dxa"/>
      <w:tblInd w:w="-1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86"/>
      <w:gridCol w:w="1777"/>
      <w:gridCol w:w="2024"/>
      <w:gridCol w:w="243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4" w:hRule="exact"/>
      </w:trPr>
      <w:tc>
        <w:tcPr>
          <w:tcW w:w="3686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bookmarkStart w:id="8" w:name="_Hlk112412835"/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77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024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436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8" w:hRule="exact"/>
      </w:trPr>
      <w:tc>
        <w:tcPr>
          <w:tcW w:w="3686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Ingeniero de Aseguramiento calidad</w:t>
          </w:r>
        </w:p>
      </w:tc>
      <w:tc>
        <w:tcPr>
          <w:tcW w:w="1777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Jefe de Calidad</w:t>
          </w:r>
        </w:p>
      </w:tc>
      <w:tc>
        <w:tcPr>
          <w:tcW w:w="2024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Director de Operaciones</w:t>
          </w:r>
        </w:p>
      </w:tc>
      <w:tc>
        <w:tcPr>
          <w:tcW w:w="2436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06-09-2022</w:t>
          </w:r>
        </w:p>
      </w:tc>
    </w:tr>
    <w:bookmarkEnd w:id="8"/>
  </w:tbl>
  <w:p>
    <w:pPr>
      <w:pStyle w:val="12"/>
      <w:tabs>
        <w:tab w:val="right" w:pos="9072"/>
        <w:tab w:val="clear" w:pos="8838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34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199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4" w:hRule="atLeast"/>
        <w:jc w:val="center"/>
      </w:trPr>
      <w:tc>
        <w:tcPr>
          <w:tcW w:w="2528" w:type="dxa"/>
          <w:vMerge w:val="restart"/>
        </w:tcPr>
        <w:p>
          <w:pPr>
            <w:pStyle w:val="13"/>
            <w:jc w:val="both"/>
            <w:rPr>
              <w:rFonts w:ascii="Franklin Gothic Book" w:hAnsi="Franklin Gothic Book"/>
            </w:rPr>
          </w:pPr>
          <w:bookmarkStart w:id="7" w:name="_Hlk112412813"/>
          <w:r>
            <w:rPr>
              <w:rFonts w:ascii="Franklin Gothic Book" w:hAnsi="Franklin Gothic Book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jc w:val="both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1995" w:type="dxa"/>
        </w:tcPr>
        <w:p>
          <w:pPr>
            <w:pStyle w:val="1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162" name="Imagen 16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magen 16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199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3"/>
            <w:jc w:val="both"/>
            <w:rPr>
              <w:rFonts w:ascii="Arial" w:hAnsi="Arial" w:cs="Arial"/>
              <w:color w:val="002060"/>
            </w:rPr>
          </w:pPr>
        </w:p>
      </w:tc>
      <w:tc>
        <w:tcPr>
          <w:tcW w:w="199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3"/>
            <w:jc w:val="both"/>
            <w:rPr>
              <w:rFonts w:ascii="Arial" w:hAnsi="Arial" w:cs="Arial"/>
            </w:rPr>
          </w:pPr>
        </w:p>
      </w:tc>
      <w:tc>
        <w:tcPr>
          <w:tcW w:w="199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06/SEP/2022</w:t>
          </w:r>
        </w:p>
      </w:tc>
    </w:tr>
    <w:bookmarkEnd w:id="7"/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DA7BE"/>
    <w:multiLevelType w:val="multilevel"/>
    <w:tmpl w:val="868DA7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98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9962C36"/>
    <w:multiLevelType w:val="multilevel"/>
    <w:tmpl w:val="29962C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98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43A25C70"/>
    <w:multiLevelType w:val="multilevel"/>
    <w:tmpl w:val="43A25C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6E76"/>
    <w:rsid w:val="00010868"/>
    <w:rsid w:val="000255D0"/>
    <w:rsid w:val="000358BF"/>
    <w:rsid w:val="00036792"/>
    <w:rsid w:val="00047AB1"/>
    <w:rsid w:val="00052247"/>
    <w:rsid w:val="00052818"/>
    <w:rsid w:val="00053E1D"/>
    <w:rsid w:val="000647EA"/>
    <w:rsid w:val="0006685F"/>
    <w:rsid w:val="00072253"/>
    <w:rsid w:val="00073477"/>
    <w:rsid w:val="00081437"/>
    <w:rsid w:val="00081A68"/>
    <w:rsid w:val="000857D1"/>
    <w:rsid w:val="00086566"/>
    <w:rsid w:val="000873D0"/>
    <w:rsid w:val="000951A3"/>
    <w:rsid w:val="000A1A2C"/>
    <w:rsid w:val="000B5A5D"/>
    <w:rsid w:val="000B68A0"/>
    <w:rsid w:val="000D14C4"/>
    <w:rsid w:val="000D6C32"/>
    <w:rsid w:val="000E7361"/>
    <w:rsid w:val="000F778E"/>
    <w:rsid w:val="0012637A"/>
    <w:rsid w:val="0013093F"/>
    <w:rsid w:val="00130A4E"/>
    <w:rsid w:val="00133E33"/>
    <w:rsid w:val="00141F2A"/>
    <w:rsid w:val="00145E0E"/>
    <w:rsid w:val="0015008F"/>
    <w:rsid w:val="0015381A"/>
    <w:rsid w:val="00155540"/>
    <w:rsid w:val="0015741A"/>
    <w:rsid w:val="0016604A"/>
    <w:rsid w:val="001723A8"/>
    <w:rsid w:val="001723CF"/>
    <w:rsid w:val="0017576E"/>
    <w:rsid w:val="001817E4"/>
    <w:rsid w:val="00191A59"/>
    <w:rsid w:val="00193A0D"/>
    <w:rsid w:val="00195BC5"/>
    <w:rsid w:val="001A1316"/>
    <w:rsid w:val="001A784E"/>
    <w:rsid w:val="001B0203"/>
    <w:rsid w:val="001B4684"/>
    <w:rsid w:val="001C21BD"/>
    <w:rsid w:val="001C24FD"/>
    <w:rsid w:val="001C2A3A"/>
    <w:rsid w:val="001C62EA"/>
    <w:rsid w:val="001D297F"/>
    <w:rsid w:val="001D2F7E"/>
    <w:rsid w:val="001D5B73"/>
    <w:rsid w:val="001E344D"/>
    <w:rsid w:val="001E6EE8"/>
    <w:rsid w:val="001F5BAE"/>
    <w:rsid w:val="001F6368"/>
    <w:rsid w:val="001F6C64"/>
    <w:rsid w:val="00211B84"/>
    <w:rsid w:val="00214328"/>
    <w:rsid w:val="0021681E"/>
    <w:rsid w:val="002247BB"/>
    <w:rsid w:val="00224C37"/>
    <w:rsid w:val="0022757F"/>
    <w:rsid w:val="0023418D"/>
    <w:rsid w:val="00243CF4"/>
    <w:rsid w:val="002458FD"/>
    <w:rsid w:val="00260ADD"/>
    <w:rsid w:val="002753C0"/>
    <w:rsid w:val="00285909"/>
    <w:rsid w:val="002929FA"/>
    <w:rsid w:val="002A27B6"/>
    <w:rsid w:val="002A57C4"/>
    <w:rsid w:val="002A6C87"/>
    <w:rsid w:val="002B4545"/>
    <w:rsid w:val="002C2562"/>
    <w:rsid w:val="002C29BE"/>
    <w:rsid w:val="002C4615"/>
    <w:rsid w:val="002D0E6E"/>
    <w:rsid w:val="002D3AEC"/>
    <w:rsid w:val="002F0E23"/>
    <w:rsid w:val="002F2BB2"/>
    <w:rsid w:val="002F3708"/>
    <w:rsid w:val="00300998"/>
    <w:rsid w:val="00303C30"/>
    <w:rsid w:val="00306BFC"/>
    <w:rsid w:val="00310E08"/>
    <w:rsid w:val="00312822"/>
    <w:rsid w:val="00313D64"/>
    <w:rsid w:val="00316A22"/>
    <w:rsid w:val="00316E08"/>
    <w:rsid w:val="0032359A"/>
    <w:rsid w:val="003324FD"/>
    <w:rsid w:val="00341795"/>
    <w:rsid w:val="00341EAE"/>
    <w:rsid w:val="003520D0"/>
    <w:rsid w:val="003526D1"/>
    <w:rsid w:val="00352A19"/>
    <w:rsid w:val="00355D76"/>
    <w:rsid w:val="00375E6C"/>
    <w:rsid w:val="00380A8F"/>
    <w:rsid w:val="00382F57"/>
    <w:rsid w:val="003909EB"/>
    <w:rsid w:val="00391D5C"/>
    <w:rsid w:val="003A3D15"/>
    <w:rsid w:val="003A56D8"/>
    <w:rsid w:val="003B09E6"/>
    <w:rsid w:val="003C7CF6"/>
    <w:rsid w:val="003C7E55"/>
    <w:rsid w:val="003D0E94"/>
    <w:rsid w:val="003D36BE"/>
    <w:rsid w:val="003D6AA1"/>
    <w:rsid w:val="003E0D3A"/>
    <w:rsid w:val="003E44B1"/>
    <w:rsid w:val="003E6A68"/>
    <w:rsid w:val="003F49AB"/>
    <w:rsid w:val="003F4D50"/>
    <w:rsid w:val="00411659"/>
    <w:rsid w:val="00411C81"/>
    <w:rsid w:val="004125FD"/>
    <w:rsid w:val="00415357"/>
    <w:rsid w:val="004160ED"/>
    <w:rsid w:val="00417C8E"/>
    <w:rsid w:val="00420ACD"/>
    <w:rsid w:val="00422062"/>
    <w:rsid w:val="004308DD"/>
    <w:rsid w:val="004323DF"/>
    <w:rsid w:val="00433E9C"/>
    <w:rsid w:val="004342BA"/>
    <w:rsid w:val="004367E9"/>
    <w:rsid w:val="00436F7C"/>
    <w:rsid w:val="00440076"/>
    <w:rsid w:val="0044101F"/>
    <w:rsid w:val="004410BE"/>
    <w:rsid w:val="00445423"/>
    <w:rsid w:val="00451508"/>
    <w:rsid w:val="00454957"/>
    <w:rsid w:val="00454B67"/>
    <w:rsid w:val="00457D34"/>
    <w:rsid w:val="004676F2"/>
    <w:rsid w:val="0046783D"/>
    <w:rsid w:val="0048165D"/>
    <w:rsid w:val="00483721"/>
    <w:rsid w:val="00486519"/>
    <w:rsid w:val="0048777D"/>
    <w:rsid w:val="0049344D"/>
    <w:rsid w:val="00497865"/>
    <w:rsid w:val="004A308E"/>
    <w:rsid w:val="004B18E9"/>
    <w:rsid w:val="004B3292"/>
    <w:rsid w:val="004C1DC4"/>
    <w:rsid w:val="004D43B2"/>
    <w:rsid w:val="004D45F5"/>
    <w:rsid w:val="004D695E"/>
    <w:rsid w:val="004D7B2C"/>
    <w:rsid w:val="004F2690"/>
    <w:rsid w:val="004F31C9"/>
    <w:rsid w:val="004F5020"/>
    <w:rsid w:val="00515E8E"/>
    <w:rsid w:val="005162C0"/>
    <w:rsid w:val="00516B6C"/>
    <w:rsid w:val="0051706C"/>
    <w:rsid w:val="00524FDD"/>
    <w:rsid w:val="00526602"/>
    <w:rsid w:val="00527589"/>
    <w:rsid w:val="00531277"/>
    <w:rsid w:val="00533416"/>
    <w:rsid w:val="00535AF2"/>
    <w:rsid w:val="00537CC3"/>
    <w:rsid w:val="00541232"/>
    <w:rsid w:val="00545B5A"/>
    <w:rsid w:val="005501DA"/>
    <w:rsid w:val="005551EC"/>
    <w:rsid w:val="005573B5"/>
    <w:rsid w:val="00564C47"/>
    <w:rsid w:val="00565065"/>
    <w:rsid w:val="005652D7"/>
    <w:rsid w:val="005656AC"/>
    <w:rsid w:val="00567378"/>
    <w:rsid w:val="00567BB7"/>
    <w:rsid w:val="00574064"/>
    <w:rsid w:val="005757F1"/>
    <w:rsid w:val="005761FD"/>
    <w:rsid w:val="0059080F"/>
    <w:rsid w:val="00595A68"/>
    <w:rsid w:val="00596473"/>
    <w:rsid w:val="005A0C46"/>
    <w:rsid w:val="005A0F45"/>
    <w:rsid w:val="005A7A1C"/>
    <w:rsid w:val="005B5173"/>
    <w:rsid w:val="005B5F38"/>
    <w:rsid w:val="005D1AE4"/>
    <w:rsid w:val="005E1EB6"/>
    <w:rsid w:val="005E46B2"/>
    <w:rsid w:val="005E51E7"/>
    <w:rsid w:val="005E6A87"/>
    <w:rsid w:val="00607F85"/>
    <w:rsid w:val="00620892"/>
    <w:rsid w:val="0062102E"/>
    <w:rsid w:val="00631065"/>
    <w:rsid w:val="006312CA"/>
    <w:rsid w:val="00641542"/>
    <w:rsid w:val="00646AC7"/>
    <w:rsid w:val="00651CD5"/>
    <w:rsid w:val="006540E6"/>
    <w:rsid w:val="00657AE8"/>
    <w:rsid w:val="00674269"/>
    <w:rsid w:val="00674275"/>
    <w:rsid w:val="006774E3"/>
    <w:rsid w:val="00682B7D"/>
    <w:rsid w:val="00686898"/>
    <w:rsid w:val="00691803"/>
    <w:rsid w:val="006940C9"/>
    <w:rsid w:val="006A704F"/>
    <w:rsid w:val="006A7701"/>
    <w:rsid w:val="006B11B2"/>
    <w:rsid w:val="006B345B"/>
    <w:rsid w:val="006B3CD5"/>
    <w:rsid w:val="006B50C0"/>
    <w:rsid w:val="006C2CB9"/>
    <w:rsid w:val="006C6397"/>
    <w:rsid w:val="006C788C"/>
    <w:rsid w:val="006D23BC"/>
    <w:rsid w:val="006D60DD"/>
    <w:rsid w:val="006E167E"/>
    <w:rsid w:val="006E29C7"/>
    <w:rsid w:val="006E54A2"/>
    <w:rsid w:val="006F1CB0"/>
    <w:rsid w:val="006F53AC"/>
    <w:rsid w:val="006F6313"/>
    <w:rsid w:val="0071064E"/>
    <w:rsid w:val="00713572"/>
    <w:rsid w:val="00713874"/>
    <w:rsid w:val="00717351"/>
    <w:rsid w:val="00717869"/>
    <w:rsid w:val="007220FC"/>
    <w:rsid w:val="007230C8"/>
    <w:rsid w:val="00725C61"/>
    <w:rsid w:val="00726579"/>
    <w:rsid w:val="00731E8A"/>
    <w:rsid w:val="00733E52"/>
    <w:rsid w:val="007351EC"/>
    <w:rsid w:val="007360C8"/>
    <w:rsid w:val="00737EB8"/>
    <w:rsid w:val="00740CBF"/>
    <w:rsid w:val="007439CC"/>
    <w:rsid w:val="007469DA"/>
    <w:rsid w:val="0075055C"/>
    <w:rsid w:val="00752E11"/>
    <w:rsid w:val="007601BF"/>
    <w:rsid w:val="007733DB"/>
    <w:rsid w:val="0077584F"/>
    <w:rsid w:val="00793347"/>
    <w:rsid w:val="00797175"/>
    <w:rsid w:val="007A1DBA"/>
    <w:rsid w:val="007B12CA"/>
    <w:rsid w:val="007B2136"/>
    <w:rsid w:val="007B3E06"/>
    <w:rsid w:val="007B677C"/>
    <w:rsid w:val="007C5E6D"/>
    <w:rsid w:val="007C6D6E"/>
    <w:rsid w:val="007D2752"/>
    <w:rsid w:val="007D5644"/>
    <w:rsid w:val="007D5872"/>
    <w:rsid w:val="007E7FBC"/>
    <w:rsid w:val="007F2307"/>
    <w:rsid w:val="007F3CB5"/>
    <w:rsid w:val="00801B34"/>
    <w:rsid w:val="008030BF"/>
    <w:rsid w:val="0080320D"/>
    <w:rsid w:val="00803633"/>
    <w:rsid w:val="00814EFF"/>
    <w:rsid w:val="00822F3A"/>
    <w:rsid w:val="0082420D"/>
    <w:rsid w:val="00825AF6"/>
    <w:rsid w:val="00834F14"/>
    <w:rsid w:val="00841043"/>
    <w:rsid w:val="00843B98"/>
    <w:rsid w:val="008458C8"/>
    <w:rsid w:val="00855CCF"/>
    <w:rsid w:val="0085760A"/>
    <w:rsid w:val="00857D31"/>
    <w:rsid w:val="00862D31"/>
    <w:rsid w:val="00865C4C"/>
    <w:rsid w:val="00873946"/>
    <w:rsid w:val="0087572B"/>
    <w:rsid w:val="0088221B"/>
    <w:rsid w:val="008A083C"/>
    <w:rsid w:val="008A3983"/>
    <w:rsid w:val="008A6BDD"/>
    <w:rsid w:val="008B0A85"/>
    <w:rsid w:val="008B3F63"/>
    <w:rsid w:val="008C3E07"/>
    <w:rsid w:val="008C51D8"/>
    <w:rsid w:val="008C5FA9"/>
    <w:rsid w:val="008C6794"/>
    <w:rsid w:val="008D3798"/>
    <w:rsid w:val="008D4737"/>
    <w:rsid w:val="008E23E3"/>
    <w:rsid w:val="008E5EA7"/>
    <w:rsid w:val="008E7E36"/>
    <w:rsid w:val="008F01DE"/>
    <w:rsid w:val="008F473B"/>
    <w:rsid w:val="0090435E"/>
    <w:rsid w:val="009306FD"/>
    <w:rsid w:val="00940DAD"/>
    <w:rsid w:val="009443B1"/>
    <w:rsid w:val="00946E77"/>
    <w:rsid w:val="0095333D"/>
    <w:rsid w:val="00955E38"/>
    <w:rsid w:val="00956B6D"/>
    <w:rsid w:val="009617EF"/>
    <w:rsid w:val="00966969"/>
    <w:rsid w:val="00966C9C"/>
    <w:rsid w:val="00966D4D"/>
    <w:rsid w:val="00974BF6"/>
    <w:rsid w:val="00975EC8"/>
    <w:rsid w:val="00977C1B"/>
    <w:rsid w:val="009813E3"/>
    <w:rsid w:val="00982157"/>
    <w:rsid w:val="00982EB3"/>
    <w:rsid w:val="0099146C"/>
    <w:rsid w:val="009A3036"/>
    <w:rsid w:val="009A5A29"/>
    <w:rsid w:val="009A6AEC"/>
    <w:rsid w:val="009A6B2F"/>
    <w:rsid w:val="009B133D"/>
    <w:rsid w:val="009D0FB3"/>
    <w:rsid w:val="009D2461"/>
    <w:rsid w:val="009D447B"/>
    <w:rsid w:val="009D7E6B"/>
    <w:rsid w:val="009E0A5C"/>
    <w:rsid w:val="009E3332"/>
    <w:rsid w:val="009E6254"/>
    <w:rsid w:val="009E7528"/>
    <w:rsid w:val="009F2A44"/>
    <w:rsid w:val="009F2CE2"/>
    <w:rsid w:val="009F5899"/>
    <w:rsid w:val="00A0103E"/>
    <w:rsid w:val="00A02539"/>
    <w:rsid w:val="00A04293"/>
    <w:rsid w:val="00A05B53"/>
    <w:rsid w:val="00A143F8"/>
    <w:rsid w:val="00A15807"/>
    <w:rsid w:val="00A159F7"/>
    <w:rsid w:val="00A20E80"/>
    <w:rsid w:val="00A22E46"/>
    <w:rsid w:val="00A35BB3"/>
    <w:rsid w:val="00A40C2E"/>
    <w:rsid w:val="00A51121"/>
    <w:rsid w:val="00A512CA"/>
    <w:rsid w:val="00A57C84"/>
    <w:rsid w:val="00A64D5B"/>
    <w:rsid w:val="00A826F4"/>
    <w:rsid w:val="00A94572"/>
    <w:rsid w:val="00AA0C29"/>
    <w:rsid w:val="00AA1766"/>
    <w:rsid w:val="00AA3275"/>
    <w:rsid w:val="00AA5D6F"/>
    <w:rsid w:val="00AD349F"/>
    <w:rsid w:val="00AE0378"/>
    <w:rsid w:val="00AE31E2"/>
    <w:rsid w:val="00AE3537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41ACA"/>
    <w:rsid w:val="00B5025D"/>
    <w:rsid w:val="00B61C83"/>
    <w:rsid w:val="00B71819"/>
    <w:rsid w:val="00B8003D"/>
    <w:rsid w:val="00B8562B"/>
    <w:rsid w:val="00B8714E"/>
    <w:rsid w:val="00B92EA0"/>
    <w:rsid w:val="00B93EF5"/>
    <w:rsid w:val="00B94E45"/>
    <w:rsid w:val="00B96BA1"/>
    <w:rsid w:val="00BA2032"/>
    <w:rsid w:val="00BA46BF"/>
    <w:rsid w:val="00BA5143"/>
    <w:rsid w:val="00BA674C"/>
    <w:rsid w:val="00BC0864"/>
    <w:rsid w:val="00BC441F"/>
    <w:rsid w:val="00BC7D2E"/>
    <w:rsid w:val="00BD6274"/>
    <w:rsid w:val="00BD6A69"/>
    <w:rsid w:val="00BE2046"/>
    <w:rsid w:val="00BF1FE7"/>
    <w:rsid w:val="00BF2AB5"/>
    <w:rsid w:val="00BF460D"/>
    <w:rsid w:val="00BF67D7"/>
    <w:rsid w:val="00C054FE"/>
    <w:rsid w:val="00C0708E"/>
    <w:rsid w:val="00C1117E"/>
    <w:rsid w:val="00C15DAD"/>
    <w:rsid w:val="00C2759C"/>
    <w:rsid w:val="00C31AAD"/>
    <w:rsid w:val="00C3306A"/>
    <w:rsid w:val="00C3334F"/>
    <w:rsid w:val="00C51158"/>
    <w:rsid w:val="00C54114"/>
    <w:rsid w:val="00C70F57"/>
    <w:rsid w:val="00C72CB9"/>
    <w:rsid w:val="00C91991"/>
    <w:rsid w:val="00C92A34"/>
    <w:rsid w:val="00C955BF"/>
    <w:rsid w:val="00CA2698"/>
    <w:rsid w:val="00CA3079"/>
    <w:rsid w:val="00CA6BE4"/>
    <w:rsid w:val="00CA7FA0"/>
    <w:rsid w:val="00CB2141"/>
    <w:rsid w:val="00CB2D90"/>
    <w:rsid w:val="00CB3773"/>
    <w:rsid w:val="00CB47CA"/>
    <w:rsid w:val="00CB6E91"/>
    <w:rsid w:val="00CC0546"/>
    <w:rsid w:val="00CC22F3"/>
    <w:rsid w:val="00CC3791"/>
    <w:rsid w:val="00CC6B86"/>
    <w:rsid w:val="00CC771B"/>
    <w:rsid w:val="00CD2F01"/>
    <w:rsid w:val="00CD33C4"/>
    <w:rsid w:val="00CD6CF3"/>
    <w:rsid w:val="00CE3DFC"/>
    <w:rsid w:val="00CE661A"/>
    <w:rsid w:val="00CE7968"/>
    <w:rsid w:val="00CF05E4"/>
    <w:rsid w:val="00CF25AD"/>
    <w:rsid w:val="00CF63CC"/>
    <w:rsid w:val="00D0484D"/>
    <w:rsid w:val="00D069D0"/>
    <w:rsid w:val="00D1100C"/>
    <w:rsid w:val="00D124B8"/>
    <w:rsid w:val="00D14316"/>
    <w:rsid w:val="00D31D75"/>
    <w:rsid w:val="00D43000"/>
    <w:rsid w:val="00D46398"/>
    <w:rsid w:val="00D464BC"/>
    <w:rsid w:val="00D4679E"/>
    <w:rsid w:val="00D47C76"/>
    <w:rsid w:val="00D50940"/>
    <w:rsid w:val="00D51CBA"/>
    <w:rsid w:val="00D529D4"/>
    <w:rsid w:val="00D61F22"/>
    <w:rsid w:val="00D65AAA"/>
    <w:rsid w:val="00D72CED"/>
    <w:rsid w:val="00D7433E"/>
    <w:rsid w:val="00D828C4"/>
    <w:rsid w:val="00D82935"/>
    <w:rsid w:val="00D82B16"/>
    <w:rsid w:val="00D83DE0"/>
    <w:rsid w:val="00D926C3"/>
    <w:rsid w:val="00D94B10"/>
    <w:rsid w:val="00D978AA"/>
    <w:rsid w:val="00DA5F1A"/>
    <w:rsid w:val="00DB06B9"/>
    <w:rsid w:val="00DB2B25"/>
    <w:rsid w:val="00DC2195"/>
    <w:rsid w:val="00DC7C54"/>
    <w:rsid w:val="00DD5D39"/>
    <w:rsid w:val="00DE20E6"/>
    <w:rsid w:val="00DE6053"/>
    <w:rsid w:val="00DE7229"/>
    <w:rsid w:val="00DF0D45"/>
    <w:rsid w:val="00DF45DF"/>
    <w:rsid w:val="00DF6E72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4110"/>
    <w:rsid w:val="00E44879"/>
    <w:rsid w:val="00E51E58"/>
    <w:rsid w:val="00E54F19"/>
    <w:rsid w:val="00E57CA1"/>
    <w:rsid w:val="00E635C2"/>
    <w:rsid w:val="00E636C9"/>
    <w:rsid w:val="00E63BD1"/>
    <w:rsid w:val="00E64ED7"/>
    <w:rsid w:val="00E66A88"/>
    <w:rsid w:val="00E702B9"/>
    <w:rsid w:val="00E778F3"/>
    <w:rsid w:val="00E86774"/>
    <w:rsid w:val="00E8736C"/>
    <w:rsid w:val="00E90F25"/>
    <w:rsid w:val="00E954F4"/>
    <w:rsid w:val="00E9569F"/>
    <w:rsid w:val="00EA10F7"/>
    <w:rsid w:val="00EA2C15"/>
    <w:rsid w:val="00EB0D32"/>
    <w:rsid w:val="00EB40B2"/>
    <w:rsid w:val="00EB4872"/>
    <w:rsid w:val="00EB7CBA"/>
    <w:rsid w:val="00EC7203"/>
    <w:rsid w:val="00ED0CDE"/>
    <w:rsid w:val="00EE56A0"/>
    <w:rsid w:val="00EE5BF9"/>
    <w:rsid w:val="00EF3014"/>
    <w:rsid w:val="00F02A77"/>
    <w:rsid w:val="00F0780D"/>
    <w:rsid w:val="00F079BF"/>
    <w:rsid w:val="00F106C1"/>
    <w:rsid w:val="00F17E8B"/>
    <w:rsid w:val="00F237C2"/>
    <w:rsid w:val="00F33184"/>
    <w:rsid w:val="00F36AB1"/>
    <w:rsid w:val="00F41DF3"/>
    <w:rsid w:val="00F4632C"/>
    <w:rsid w:val="00F465FB"/>
    <w:rsid w:val="00F477B3"/>
    <w:rsid w:val="00F54028"/>
    <w:rsid w:val="00F5535D"/>
    <w:rsid w:val="00F63150"/>
    <w:rsid w:val="00F67326"/>
    <w:rsid w:val="00F838CF"/>
    <w:rsid w:val="00F84466"/>
    <w:rsid w:val="00F8524F"/>
    <w:rsid w:val="00F868E2"/>
    <w:rsid w:val="00F87E7B"/>
    <w:rsid w:val="00F93A4A"/>
    <w:rsid w:val="00F93AA2"/>
    <w:rsid w:val="00FA1CAE"/>
    <w:rsid w:val="00FA7273"/>
    <w:rsid w:val="00FB330C"/>
    <w:rsid w:val="00FB42F1"/>
    <w:rsid w:val="00FB7934"/>
    <w:rsid w:val="00FC0063"/>
    <w:rsid w:val="00FD514D"/>
    <w:rsid w:val="00FE7E78"/>
    <w:rsid w:val="00FF1ACE"/>
    <w:rsid w:val="00FF1EB4"/>
    <w:rsid w:val="00FF2A65"/>
    <w:rsid w:val="00FF2D9E"/>
    <w:rsid w:val="01D31020"/>
    <w:rsid w:val="03D031B4"/>
    <w:rsid w:val="049F221F"/>
    <w:rsid w:val="05CF2A54"/>
    <w:rsid w:val="074C5682"/>
    <w:rsid w:val="08F81F38"/>
    <w:rsid w:val="09331ABF"/>
    <w:rsid w:val="09DA72CA"/>
    <w:rsid w:val="0CB72639"/>
    <w:rsid w:val="0D592C8A"/>
    <w:rsid w:val="11453FE9"/>
    <w:rsid w:val="11D24E50"/>
    <w:rsid w:val="11FD50F6"/>
    <w:rsid w:val="125C7436"/>
    <w:rsid w:val="126B7053"/>
    <w:rsid w:val="1281778C"/>
    <w:rsid w:val="12B54E1B"/>
    <w:rsid w:val="133236CD"/>
    <w:rsid w:val="133B1E2D"/>
    <w:rsid w:val="14D077C8"/>
    <w:rsid w:val="15281B22"/>
    <w:rsid w:val="15EE7EC6"/>
    <w:rsid w:val="168250AE"/>
    <w:rsid w:val="17137512"/>
    <w:rsid w:val="19135CD7"/>
    <w:rsid w:val="1A2B3133"/>
    <w:rsid w:val="1D3E783E"/>
    <w:rsid w:val="1D6848BB"/>
    <w:rsid w:val="1DD93F7F"/>
    <w:rsid w:val="1E044756"/>
    <w:rsid w:val="1EFA11B1"/>
    <w:rsid w:val="20A74744"/>
    <w:rsid w:val="21A75B00"/>
    <w:rsid w:val="23995058"/>
    <w:rsid w:val="256A3569"/>
    <w:rsid w:val="25945044"/>
    <w:rsid w:val="25A91F14"/>
    <w:rsid w:val="2A2B114A"/>
    <w:rsid w:val="2B5E15BA"/>
    <w:rsid w:val="2B7A3BD3"/>
    <w:rsid w:val="2CC63ADB"/>
    <w:rsid w:val="2D325A39"/>
    <w:rsid w:val="2EB95E0A"/>
    <w:rsid w:val="300968BC"/>
    <w:rsid w:val="30DC0713"/>
    <w:rsid w:val="32651C03"/>
    <w:rsid w:val="32680401"/>
    <w:rsid w:val="33B728C3"/>
    <w:rsid w:val="34022ACD"/>
    <w:rsid w:val="361631CB"/>
    <w:rsid w:val="364E318F"/>
    <w:rsid w:val="3677196E"/>
    <w:rsid w:val="378036DE"/>
    <w:rsid w:val="39B47582"/>
    <w:rsid w:val="3A1B4080"/>
    <w:rsid w:val="3B9C0360"/>
    <w:rsid w:val="3BFA3CF7"/>
    <w:rsid w:val="3E883317"/>
    <w:rsid w:val="436D4129"/>
    <w:rsid w:val="454D43DE"/>
    <w:rsid w:val="46636FB8"/>
    <w:rsid w:val="489A151D"/>
    <w:rsid w:val="498F2ACA"/>
    <w:rsid w:val="49FE7262"/>
    <w:rsid w:val="4A8C441B"/>
    <w:rsid w:val="4D0861D9"/>
    <w:rsid w:val="4D7F1953"/>
    <w:rsid w:val="4E7D1932"/>
    <w:rsid w:val="4F043B94"/>
    <w:rsid w:val="50605116"/>
    <w:rsid w:val="50C23060"/>
    <w:rsid w:val="52D91ABF"/>
    <w:rsid w:val="52F66048"/>
    <w:rsid w:val="53052F13"/>
    <w:rsid w:val="543547EF"/>
    <w:rsid w:val="550659D2"/>
    <w:rsid w:val="552B3E4D"/>
    <w:rsid w:val="556E656F"/>
    <w:rsid w:val="55EC5382"/>
    <w:rsid w:val="5B076A0D"/>
    <w:rsid w:val="5C5975F3"/>
    <w:rsid w:val="5C9127FB"/>
    <w:rsid w:val="5E2E0AD9"/>
    <w:rsid w:val="5F773F0E"/>
    <w:rsid w:val="603509E8"/>
    <w:rsid w:val="603F489B"/>
    <w:rsid w:val="609F48FF"/>
    <w:rsid w:val="617E5DE4"/>
    <w:rsid w:val="62F36A46"/>
    <w:rsid w:val="63B90618"/>
    <w:rsid w:val="657048C7"/>
    <w:rsid w:val="66103F76"/>
    <w:rsid w:val="679F3CC5"/>
    <w:rsid w:val="67F26434"/>
    <w:rsid w:val="69323E39"/>
    <w:rsid w:val="6A035D70"/>
    <w:rsid w:val="6A773014"/>
    <w:rsid w:val="6E570482"/>
    <w:rsid w:val="6EB8009F"/>
    <w:rsid w:val="70A15959"/>
    <w:rsid w:val="711205DD"/>
    <w:rsid w:val="717C3606"/>
    <w:rsid w:val="732F5B01"/>
    <w:rsid w:val="73F160DC"/>
    <w:rsid w:val="749474F9"/>
    <w:rsid w:val="74980757"/>
    <w:rsid w:val="74B01C78"/>
    <w:rsid w:val="76CC564E"/>
    <w:rsid w:val="798F730C"/>
    <w:rsid w:val="7AFC118C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1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7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4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0">
    <w:name w:val="Encabezado Car"/>
    <w:basedOn w:val="6"/>
    <w:link w:val="13"/>
    <w:qFormat/>
    <w:uiPriority w:val="99"/>
  </w:style>
  <w:style w:type="character" w:customStyle="1" w:styleId="21">
    <w:name w:val="Pie de página Car"/>
    <w:basedOn w:val="6"/>
    <w:link w:val="12"/>
    <w:qFormat/>
    <w:uiPriority w:val="99"/>
  </w:style>
  <w:style w:type="character" w:customStyle="1" w:styleId="22">
    <w:name w:val="Título 1 Car"/>
    <w:basedOn w:val="6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3">
    <w:name w:val="Título 2 Car"/>
    <w:basedOn w:val="6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4">
    <w:name w:val="Título Car"/>
    <w:basedOn w:val="6"/>
    <w:link w:val="16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ítulo 3 Car"/>
    <w:basedOn w:val="6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7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8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9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0">
    <w:name w:val="Texto comentario Car"/>
    <w:basedOn w:val="6"/>
    <w:link w:val="10"/>
    <w:qFormat/>
    <w:uiPriority w:val="99"/>
    <w:rPr>
      <w:lang w:eastAsia="en-US"/>
    </w:rPr>
  </w:style>
  <w:style w:type="character" w:customStyle="1" w:styleId="31">
    <w:name w:val="Asunto del comentario Car"/>
    <w:basedOn w:val="30"/>
    <w:link w:val="11"/>
    <w:semiHidden/>
    <w:qFormat/>
    <w:uiPriority w:val="99"/>
    <w:rPr>
      <w:b/>
      <w:bCs/>
      <w:lang w:eastAsia="en-US"/>
    </w:rPr>
  </w:style>
  <w:style w:type="paragraph" w:customStyle="1" w:styleId="32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284</Words>
  <Characters>1566</Characters>
  <Lines>13</Lines>
  <Paragraphs>3</Paragraphs>
  <TotalTime>0</TotalTime>
  <ScaleCrop>false</ScaleCrop>
  <LinksUpToDate>false</LinksUpToDate>
  <CharactersWithSpaces>1847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2022-09-06T20:20:00Z</dcterms:created>
  <dc:creator>Hugo Alberto Martínez Ortega</dc:creator>
  <cp:lastModifiedBy>Infraestructura</cp:lastModifiedBy>
  <dcterms:modified xsi:type="dcterms:W3CDTF">2022-10-20T15:02:41Z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7350E58FA5114083BD48B88BE569E978</vt:lpwstr>
  </property>
</Properties>
</file>