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rFonts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MANUAL DE USUARIO</w:t>
      </w: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rFonts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TAXATION-V3</w:t>
      </w: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720" w:bottom="720" w:left="720" w:header="708" w:footer="708" w:gutter="0"/>
          <w:cols w:space="708" w:num="1"/>
          <w:docGrid w:linePitch="360" w:charSpace="0"/>
        </w:sectPr>
      </w:pPr>
    </w:p>
    <w:p>
      <w:pPr>
        <w:adjustRightInd w:val="0"/>
        <w:snapToGrid w:val="0"/>
        <w:spacing w:after="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t>MANUAL DE USUARIO – TAXATION-V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t>3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t>MÓDULO DE RESOLUCIÓN IGAC - PREDIAL</w:t>
      </w:r>
    </w:p>
    <w:p>
      <w:pPr>
        <w:adjustRightInd w:val="0"/>
        <w:snapToGrid w:val="0"/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Informática y Tributos SAS ®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Ninguna parte de esta obra puede ser reproducida de ninguna forma o por cualquier medio - </w:t>
      </w:r>
      <w:r>
        <w:rPr>
          <w:rFonts w:ascii="Arial" w:hAnsi="Arial" w:cs="Arial"/>
          <w:sz w:val="24"/>
          <w:szCs w:val="24"/>
          <w:lang w:val="es-ES"/>
        </w:rPr>
        <w:t>gráfico</w:t>
      </w:r>
      <w:r>
        <w:rPr>
          <w:rFonts w:ascii="Arial" w:hAnsi="Arial" w:cs="Arial"/>
          <w:sz w:val="24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4"/>
          <w:szCs w:val="24"/>
        </w:rPr>
        <w:br w:type="page"/>
      </w: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t>TABLA DE CONTENIDO</w:t>
      </w:r>
    </w:p>
    <w:p>
      <w:pPr>
        <w:adjustRightInd w:val="0"/>
        <w:snapToGrid w:val="0"/>
        <w:spacing w:after="0" w:line="360" w:lineRule="auto"/>
        <w:jc w:val="right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t>PAG.</w:t>
      </w:r>
    </w:p>
    <w:p>
      <w:pPr>
        <w:pStyle w:val="10"/>
        <w:tabs>
          <w:tab w:val="right" w:leader="dot" w:pos="10800"/>
        </w:tabs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instrText xml:space="preserve">TOC \o "1-3" \h \u </w:instrTex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fldChar w:fldCharType="separate"/>
      </w:r>
      <w:r>
        <w:fldChar w:fldCharType="begin"/>
      </w:r>
      <w:r>
        <w:instrText xml:space="preserve"> HYPERLINK \l "_Toc24166"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 RESOLUCI</w:t>
      </w:r>
      <w:r>
        <w:rPr>
          <w:rFonts w:ascii="Arial" w:hAnsi="Arial" w:cs="Arial"/>
          <w:sz w:val="24"/>
          <w:szCs w:val="24"/>
          <w:lang w:eastAsia="zh-CN"/>
        </w:rPr>
        <w:t>ÓN IGAC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_Toc24166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1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"_Toc26612"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1.1. REGISTRO DE RESOLUCIONES IGAC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_Toc26612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"_Toc4606"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1.1.1.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_Toc4606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"_Toc22770"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1.1.2. Registrar resoluciones IGAC.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_Toc22770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1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"_Toc10574" </w:instrText>
      </w:r>
      <w:r>
        <w:fldChar w:fldCharType="separate"/>
      </w:r>
      <w:r>
        <w:rPr>
          <w:rFonts w:ascii="Arial" w:hAnsi="Arial" w:cs="Arial"/>
          <w:sz w:val="24"/>
          <w:szCs w:val="24"/>
          <w:lang w:eastAsia="zh-CN"/>
        </w:rPr>
        <w:t>1.2. APLICACIÓN DE RESOLUCIONES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_Toc10574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"_Toc11071"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1.2.1.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_Toc11071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"_Toc25677" </w:instrText>
      </w:r>
      <w:r>
        <w:fldChar w:fldCharType="separate"/>
      </w:r>
      <w:r>
        <w:rPr>
          <w:rFonts w:ascii="Arial" w:hAnsi="Arial" w:cs="Arial"/>
          <w:sz w:val="24"/>
          <w:szCs w:val="24"/>
          <w:lang w:eastAsia="zh-CN"/>
        </w:rPr>
        <w:t xml:space="preserve">1.2.2. </w:t>
      </w:r>
      <w:r>
        <w:rPr>
          <w:rFonts w:ascii="Arial" w:hAnsi="Arial" w:cs="Arial"/>
          <w:sz w:val="24"/>
          <w:szCs w:val="24"/>
          <w:lang w:val="es-ES" w:eastAsia="zh-CN"/>
        </w:rPr>
        <w:t>Aplicar resoluciones</w:t>
      </w:r>
      <w:r>
        <w:rPr>
          <w:rFonts w:ascii="Arial" w:hAnsi="Arial" w:cs="Arial"/>
          <w:sz w:val="24"/>
          <w:szCs w:val="24"/>
          <w:lang w:eastAsia="zh-CN"/>
        </w:rPr>
        <w:t>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_Toc25677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1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"_Toc29874"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1.3. CARGUE ARCHIVOS RESOLUCIÓN IGAC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_Toc29874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"_Toc26693"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1.3.1.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_Toc26693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"_Toc22771"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1.3.2. Cargar archivos.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_Toc22771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17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1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"_Toc14242"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1.4. CONSULTA DE RESOLUCIONES IGAC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_Toc14242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"_Toc4254"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1.4.1. Acceso a la opción.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_Toc4254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"_Toc20738"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1.4.2. Parámetros de consulta.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_Toc20738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23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"_Toc28286"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1.4.3. Imprimir consulta por resolución.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_Toc28286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8"/>
        <w:tabs>
          <w:tab w:val="right" w:leader="dot" w:pos="10800"/>
        </w:tabs>
        <w:adjustRightInd w:val="0"/>
        <w:snapToGrid w:val="0"/>
        <w:spacing w:after="0" w:line="360" w:lineRule="auto"/>
        <w:ind w:left="0" w:leftChars="0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\l "_Toc30726" </w:instrText>
      </w:r>
      <w:r>
        <w:fldChar w:fldCharType="separate"/>
      </w:r>
      <w:r>
        <w:rPr>
          <w:rFonts w:ascii="Arial" w:hAnsi="Arial" w:cs="Arial"/>
          <w:sz w:val="24"/>
          <w:szCs w:val="24"/>
          <w:lang w:val="es-ES" w:eastAsia="zh-CN"/>
        </w:rPr>
        <w:t>1.4.4. Imprimir consulta por radicación.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_Toc30726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Cs/>
          <w:color w:val="4472C4" w:themeColor="accent1"/>
          <w:sz w:val="24"/>
          <w:szCs w:val="24"/>
          <w:lang w:val="es-ES"/>
          <w14:textFill>
            <w14:solidFill>
              <w14:schemeClr w14:val="accent1"/>
            </w14:solidFill>
          </w14:textFill>
        </w:rPr>
        <w:fldChar w:fldCharType="end"/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2"/>
        <w:numPr>
          <w:ilvl w:val="0"/>
          <w:numId w:val="1"/>
        </w:numPr>
        <w:adjustRightInd w:val="0"/>
        <w:snapToGrid w:val="0"/>
        <w:spacing w:before="0"/>
        <w:ind w:left="0" w:firstLine="0"/>
        <w:rPr>
          <w:rFonts w:cs="Arial"/>
          <w:sz w:val="24"/>
          <w:szCs w:val="24"/>
          <w:lang w:val="es-ES" w:eastAsia="zh-CN"/>
        </w:rPr>
      </w:pPr>
      <w:bookmarkStart w:id="0" w:name="_Toc24166"/>
      <w:r>
        <w:rPr>
          <w:rFonts w:cs="Arial"/>
          <w:szCs w:val="28"/>
          <w:lang w:val="es-ES" w:eastAsia="zh-CN"/>
        </w:rPr>
        <w:t>RESOLUCI</w:t>
      </w:r>
      <w:r>
        <w:rPr>
          <w:rFonts w:cs="Arial"/>
          <w:szCs w:val="28"/>
          <w:lang w:eastAsia="zh-CN"/>
        </w:rPr>
        <w:t>ÓN IGAC</w:t>
      </w:r>
      <w:bookmarkEnd w:id="0"/>
    </w:p>
    <w:p>
      <w:pPr>
        <w:adjustRightInd w:val="0"/>
        <w:snapToGrid w:val="0"/>
        <w:spacing w:after="0" w:line="360" w:lineRule="auto"/>
        <w:rPr>
          <w:lang w:val="es-ES" w:eastAsia="zh-CN"/>
        </w:rPr>
      </w:pPr>
    </w:p>
    <w:p>
      <w:pPr>
        <w:pStyle w:val="3"/>
        <w:numPr>
          <w:ilvl w:val="1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" w:name="_Toc26612"/>
      <w:r>
        <w:rPr>
          <w:lang w:val="es-ES" w:eastAsia="zh-CN"/>
        </w:rPr>
        <w:t>REGISTRO DE RESOLUCIONES IGAC</w:t>
      </w:r>
      <w:bookmarkEnd w:id="1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A través de la siguiente funcionalidad podrá realizar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el registro </w:t>
      </w:r>
      <w:r>
        <w:rPr>
          <w:rFonts w:ascii="Arial" w:hAnsi="Arial" w:cs="Arial"/>
          <w:sz w:val="24"/>
          <w:szCs w:val="24"/>
          <w:lang w:eastAsia="zh-CN"/>
        </w:rPr>
        <w:t xml:space="preserve">de </w:t>
      </w:r>
      <w:r>
        <w:rPr>
          <w:rFonts w:ascii="Arial" w:hAnsi="Arial" w:cs="Arial"/>
          <w:sz w:val="24"/>
          <w:szCs w:val="24"/>
          <w:lang w:val="es-ES" w:eastAsia="zh-CN"/>
        </w:rPr>
        <w:t>resoluciones IGAC</w:t>
      </w:r>
      <w:r>
        <w:rPr>
          <w:rFonts w:ascii="Arial" w:hAnsi="Arial" w:cs="Arial"/>
          <w:sz w:val="24"/>
          <w:szCs w:val="24"/>
          <w:lang w:eastAsia="zh-CN"/>
        </w:rPr>
        <w:t>. A continuación, se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sz w:val="24"/>
          <w:szCs w:val="24"/>
          <w:lang w:eastAsia="zh-CN"/>
        </w:rPr>
        <w:t>explica la funcionalidad a detalle para llevar a cabo dicho proceso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2" w:name="_Toc4606"/>
      <w:r>
        <w:rPr>
          <w:lang w:val="es-ES" w:eastAsia="zh-CN"/>
        </w:rPr>
        <w:t>Acceso a la opción.</w:t>
      </w:r>
      <w:bookmarkEnd w:id="2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el registro de resoluciones IGAC, se debe acceder por la siguiente ruta del menú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Procesos de Usuario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Resoluciones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Resolución IGAC </w:t>
      </w:r>
      <w:r>
        <w:rPr>
          <w:rFonts w:ascii="Arial" w:hAnsi="Arial" w:cs="Arial"/>
          <w:sz w:val="24"/>
          <w:szCs w:val="24"/>
          <w:lang w:val="es-ES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Registro de Resoluciones IGAC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Registro de Resoluciones IGAC</w:t>
      </w:r>
      <w:r>
        <w:rPr>
          <w:rFonts w:ascii="Arial" w:hAnsi="Arial" w:cs="Arial"/>
          <w:sz w:val="24"/>
          <w:szCs w:val="24"/>
          <w:lang w:val="es-ES" w:eastAsia="zh-CN"/>
        </w:rPr>
        <w:t>, tal como se observa en la imagen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drawing>
          <wp:inline distT="0" distB="0" distL="114300" distR="114300">
            <wp:extent cx="2576195" cy="770890"/>
            <wp:effectExtent l="0" t="0" r="14605" b="10160"/>
            <wp:docPr id="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Acceso a la Opción - Registro de resoluciones IGAC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>Después de haber hecho doble clic en la opción, se mostrará la siguiente ventana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drawing>
          <wp:inline distT="0" distB="0" distL="114300" distR="114300">
            <wp:extent cx="6402705" cy="3242310"/>
            <wp:effectExtent l="0" t="0" r="17145" b="15240"/>
            <wp:docPr id="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Opción - Registro de resoluciones IGAC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3" w:name="_Toc22770"/>
      <w:r>
        <w:rPr>
          <w:lang w:val="es-ES" w:eastAsia="zh-CN"/>
        </w:rPr>
        <w:t>Registrar resoluciones IGAC.</w:t>
      </w:r>
      <w:bookmarkEnd w:id="3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el registro </w:t>
      </w:r>
      <w:r>
        <w:rPr>
          <w:rFonts w:ascii="Arial" w:hAnsi="Arial" w:cs="Arial"/>
          <w:sz w:val="24"/>
          <w:szCs w:val="24"/>
          <w:lang w:eastAsia="zh-CN"/>
        </w:rPr>
        <w:t>de las resoluciones IGAC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deberá ubicarse en la sección definida como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 xml:space="preserve">Resoluciones IGAC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y </w:t>
      </w:r>
      <w:r>
        <w:rPr>
          <w:rFonts w:ascii="Arial" w:hAnsi="Arial" w:cs="Arial"/>
          <w:sz w:val="24"/>
          <w:szCs w:val="24"/>
          <w:lang w:eastAsia="zh-CN"/>
        </w:rPr>
        <w:t xml:space="preserve">digitar o seleccionar de forma obligatoria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No. Resolución</w:t>
      </w:r>
      <w:r>
        <w:rPr>
          <w:rFonts w:ascii="Arial" w:hAnsi="Arial" w:cs="Arial"/>
          <w:sz w:val="24"/>
          <w:szCs w:val="24"/>
          <w:lang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No. Radicación</w:t>
      </w:r>
      <w:r>
        <w:rPr>
          <w:rFonts w:ascii="Arial" w:hAnsi="Arial" w:cs="Arial"/>
          <w:sz w:val="24"/>
          <w:szCs w:val="24"/>
          <w:lang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Mutación</w:t>
      </w:r>
      <w:r>
        <w:rPr>
          <w:rFonts w:ascii="Arial" w:hAnsi="Arial" w:cs="Arial"/>
          <w:sz w:val="24"/>
          <w:szCs w:val="24"/>
          <w:lang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Descripción Tipo Mutación</w:t>
      </w:r>
      <w:r>
        <w:rPr>
          <w:rFonts w:ascii="Arial" w:hAnsi="Arial" w:cs="Arial"/>
          <w:sz w:val="24"/>
          <w:szCs w:val="24"/>
          <w:lang w:eastAsia="zh-CN"/>
        </w:rPr>
        <w:t xml:space="preserve"> (para seleccionarlo, deberá hacer clic sobre el icono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114300" distR="114300">
            <wp:extent cx="228600" cy="219075"/>
            <wp:effectExtent l="0" t="0" r="0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zh-CN"/>
        </w:rPr>
        <w:t>),</w:t>
      </w:r>
      <w:r>
        <w:rPr>
          <w:rFonts w:ascii="Arial" w:hAnsi="Arial" w:cs="Arial"/>
          <w:b/>
          <w:bCs/>
          <w:sz w:val="24"/>
          <w:szCs w:val="24"/>
          <w:lang w:eastAsia="zh-CN"/>
        </w:rPr>
        <w:t xml:space="preserve"> Vigencia </w:t>
      </w:r>
      <w:r>
        <w:rPr>
          <w:rFonts w:ascii="Arial" w:hAnsi="Arial" w:cs="Arial"/>
          <w:sz w:val="24"/>
          <w:szCs w:val="24"/>
          <w:lang w:eastAsia="zh-CN"/>
        </w:rPr>
        <w:t xml:space="preserve">y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Fecha Resolución</w:t>
      </w:r>
      <w:r>
        <w:rPr>
          <w:rFonts w:ascii="Arial" w:hAnsi="Arial" w:cs="Arial"/>
          <w:sz w:val="24"/>
          <w:szCs w:val="24"/>
          <w:lang w:eastAsia="zh-CN"/>
        </w:rPr>
        <w:t xml:space="preserve">. Todos los campos se deben ingresar en el mismo orden en el que fueron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mencionados </w:t>
      </w:r>
      <w:r>
        <w:rPr>
          <w:rFonts w:ascii="Arial" w:hAnsi="Arial" w:cs="Arial"/>
          <w:sz w:val="24"/>
          <w:szCs w:val="24"/>
          <w:lang w:eastAsia="zh-CN"/>
        </w:rPr>
        <w:t>anteriormente.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6" w:type="dxa"/>
          </w:tcPr>
          <w:p>
            <w:pPr>
              <w:widowControl/>
              <w:adjustRightInd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ES" w:eastAsia="zh-CN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 w:eastAsia="zh-CN"/>
              </w:rPr>
              <w:t xml:space="preserve">NOTA: </w:t>
            </w:r>
            <w:r>
              <w:rPr>
                <w:rFonts w:ascii="Arial" w:hAnsi="Arial" w:cs="Arial"/>
                <w:sz w:val="24"/>
                <w:szCs w:val="24"/>
                <w:lang w:val="es-ES" w:eastAsia="zh-CN"/>
              </w:rPr>
              <w:t>Para realizar el registro de la resolución IGAC mediante esta forma, deberá tener el documento de la resolución para que así pueda digitar la información de forma correcta.</w:t>
            </w:r>
          </w:p>
        </w:tc>
      </w:tr>
    </w:tbl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7025640" cy="603885"/>
            <wp:effectExtent l="9525" t="9525" r="13335" b="15240"/>
            <wp:docPr id="1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60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.Sección - Resoluciones IGAC sin diligenciar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983730" cy="582295"/>
            <wp:effectExtent l="9525" t="9525" r="17145" b="1778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582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Sección - Resoluciones IGAC diligenciada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diligenciada la información anterior, deberá ingresar los detalles de la resolución y digitar los campos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Cancela (C)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o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Inscribe (I)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,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Referencia Catastral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No. Orden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No.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Total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Apellidos y Nombres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Estado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Tipo de documento</w:t>
      </w:r>
      <w:r>
        <w:rPr>
          <w:rFonts w:ascii="Arial" w:hAnsi="Arial" w:cs="Arial"/>
          <w:sz w:val="24"/>
          <w:szCs w:val="24"/>
          <w:lang w:val="es-ES" w:eastAsia="zh-CN"/>
        </w:rPr>
        <w:t>,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 No. Documento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Dirección o Vereda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Destino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Área Terreno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Área Construida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y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Avalúo Catastral</w:t>
      </w:r>
      <w:r>
        <w:rPr>
          <w:rFonts w:ascii="Arial" w:hAnsi="Arial" w:cs="Arial"/>
          <w:sz w:val="24"/>
          <w:szCs w:val="24"/>
          <w:lang w:val="es-ES" w:eastAsia="zh-CN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A continuación se muestra una imagen con los datos de la resolución utilizados:</w:t>
      </w:r>
    </w:p>
    <w:p>
      <w:pPr>
        <w:adjustRightInd w:val="0"/>
        <w:snapToGrid w:val="0"/>
        <w:spacing w:after="0" w:line="360" w:lineRule="auto"/>
        <w:jc w:val="both"/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396990" cy="3237865"/>
            <wp:effectExtent l="0" t="0" r="3810" b="635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5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. Detalles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de la resolución utilizados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ingresado los detalles de la resolución, deberá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304925" cy="219075"/>
            <wp:effectExtent l="0" t="0" r="9525" b="952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como se muestra ac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266815" cy="3170555"/>
            <wp:effectExtent l="0" t="0" r="635" b="10795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6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. Botón - Registrar resolución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haya hecho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304925" cy="219075"/>
            <wp:effectExtent l="0" t="0" r="9525" b="952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informando que la resolución fue registrada correctamente. Para continuar,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6070" cy="215265"/>
            <wp:effectExtent l="0" t="0" r="17780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4226560" cy="1499870"/>
            <wp:effectExtent l="0" t="0" r="2540" b="508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7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. Mensaje de información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haber hecho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00050" cy="2806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07" cy="2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, se mostrará la siguiente ventana.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En esta ventana podrá realizar el registro de los decretos que contenga la resolución. Para realizar el registro de los decretos, deberá de ingresar los campos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Avalúo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Vigencia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Detalle Decreto/Inscripción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en la sección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Decretos.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Una vez digitados los campos, deberá de hacer clic en el botón </w:t>
      </w:r>
      <w:r>
        <w:drawing>
          <wp:inline distT="0" distB="0" distL="114300" distR="114300">
            <wp:extent cx="1019175" cy="190500"/>
            <wp:effectExtent l="0" t="0" r="9525" b="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5167630" cy="3093720"/>
            <wp:effectExtent l="0" t="0" r="13970" b="1143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  <w:t>. Ventana - Registro decretos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3"/>
        <w:numPr>
          <w:ilvl w:val="1"/>
          <w:numId w:val="1"/>
        </w:numPr>
        <w:adjustRightInd w:val="0"/>
        <w:snapToGrid w:val="0"/>
        <w:spacing w:before="0"/>
        <w:ind w:left="0" w:firstLine="0"/>
        <w:rPr>
          <w:lang w:eastAsia="zh-CN"/>
        </w:rPr>
      </w:pPr>
      <w:bookmarkStart w:id="4" w:name="_Toc10574"/>
      <w:r>
        <w:rPr>
          <w:lang w:eastAsia="zh-CN"/>
        </w:rPr>
        <w:t>APLICACIÓN DE RESOLUCIONES</w:t>
      </w:r>
      <w:bookmarkEnd w:id="4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A través de la siguiente funcionalidad podrá realizar </w:t>
      </w:r>
      <w:r>
        <w:rPr>
          <w:rFonts w:ascii="Arial" w:hAnsi="Arial" w:cs="Arial"/>
          <w:sz w:val="24"/>
          <w:szCs w:val="24"/>
          <w:lang w:val="es-ES" w:eastAsia="zh-CN"/>
        </w:rPr>
        <w:t>la aplicación de resoluciones</w:t>
      </w:r>
      <w:r>
        <w:rPr>
          <w:rFonts w:ascii="Arial" w:hAnsi="Arial" w:cs="Arial"/>
          <w:sz w:val="24"/>
          <w:szCs w:val="24"/>
          <w:lang w:eastAsia="zh-CN"/>
        </w:rPr>
        <w:t>. A continuación, se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sz w:val="24"/>
          <w:szCs w:val="24"/>
          <w:lang w:eastAsia="zh-CN"/>
        </w:rPr>
        <w:t>explica la funcionalidad a detalle para llevar a cabo dicho proceso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5" w:name="_Toc11071"/>
      <w:r>
        <w:rPr>
          <w:lang w:val="es-ES" w:eastAsia="zh-CN"/>
        </w:rPr>
        <w:t>Acceso a la opción.</w:t>
      </w:r>
      <w:bookmarkEnd w:id="5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la aplicación de resoluciones, se debe acceder por la siguiente ruta del menú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Procesos de Usuario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Resoluciones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Resolución IGAC </w:t>
      </w:r>
      <w:r>
        <w:rPr>
          <w:rFonts w:ascii="Arial" w:hAnsi="Arial" w:cs="Arial"/>
          <w:sz w:val="24"/>
          <w:szCs w:val="24"/>
          <w:lang w:val="es-ES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Aplicación de Resoluciones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Aplicación de Resoluciones</w:t>
      </w:r>
      <w:r>
        <w:rPr>
          <w:rFonts w:ascii="Arial" w:hAnsi="Arial" w:cs="Arial"/>
          <w:sz w:val="24"/>
          <w:szCs w:val="24"/>
          <w:lang w:val="es-ES" w:eastAsia="zh-CN"/>
        </w:rPr>
        <w:t>, tal como se observa en la imagen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114300" distR="114300">
            <wp:extent cx="2965450" cy="943610"/>
            <wp:effectExtent l="0" t="0" r="6350" b="8890"/>
            <wp:docPr id="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9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.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Acceso a la Opción - Aplicación de resoluciones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>Después de haber hecho doble clic en la opción, se mostrará la siguiente ventana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114300" distR="114300">
            <wp:extent cx="6728460" cy="3616325"/>
            <wp:effectExtent l="0" t="0" r="15240" b="3175"/>
            <wp:docPr id="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10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.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Opción - Aplicación de resoluciones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eastAsia="zh-CN"/>
        </w:rPr>
      </w:pPr>
      <w:bookmarkStart w:id="6" w:name="_Toc25677"/>
      <w:r>
        <w:rPr>
          <w:lang w:val="es-ES" w:eastAsia="zh-CN"/>
        </w:rPr>
        <w:t>Aplicar resoluciones</w:t>
      </w:r>
      <w:r>
        <w:rPr>
          <w:lang w:eastAsia="zh-CN"/>
        </w:rPr>
        <w:t>.</w:t>
      </w:r>
      <w:bookmarkEnd w:id="6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</w:t>
      </w:r>
      <w:r>
        <w:rPr>
          <w:rFonts w:ascii="Arial" w:hAnsi="Arial" w:cs="Arial"/>
          <w:sz w:val="24"/>
          <w:szCs w:val="24"/>
          <w:lang w:eastAsia="zh-CN"/>
        </w:rPr>
        <w:t>la aplicación de las resoluciones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sz w:val="24"/>
          <w:szCs w:val="24"/>
          <w:lang w:eastAsia="zh-CN"/>
        </w:rPr>
        <w:t>deberá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ubicarse en la sección definida como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Parámetros</w:t>
      </w:r>
      <w:r>
        <w:rPr>
          <w:rFonts w:ascii="Arial" w:hAnsi="Arial" w:cs="Arial"/>
          <w:sz w:val="24"/>
          <w:szCs w:val="24"/>
          <w:lang w:eastAsia="zh-CN"/>
        </w:rPr>
        <w:t xml:space="preserve"> e ingresar de manera obligatoria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 xml:space="preserve">No. Resolución IGAC </w:t>
      </w:r>
      <w:r>
        <w:rPr>
          <w:rFonts w:ascii="Arial" w:hAnsi="Arial" w:cs="Arial"/>
          <w:sz w:val="24"/>
          <w:szCs w:val="24"/>
          <w:lang w:eastAsia="zh-CN"/>
        </w:rPr>
        <w:t xml:space="preserve">y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 xml:space="preserve">No. Radicación IGAC </w:t>
      </w:r>
      <w:r>
        <w:rPr>
          <w:rFonts w:ascii="Arial" w:hAnsi="Arial" w:cs="Arial"/>
          <w:sz w:val="24"/>
          <w:szCs w:val="24"/>
          <w:lang w:eastAsia="zh-CN"/>
        </w:rPr>
        <w:t>como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41"/>
        <w:gridCol w:w="5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8" w:type="dxa"/>
          </w:tcPr>
          <w:p>
            <w:pPr>
              <w:widowControl/>
              <w:adjustRightInd w:val="0"/>
              <w:snapToGrid w:val="0"/>
              <w:spacing w:after="0" w:line="360" w:lineRule="auto"/>
              <w:jc w:val="center"/>
            </w:pPr>
            <w:r>
              <w:drawing>
                <wp:inline distT="0" distB="0" distL="114300" distR="114300">
                  <wp:extent cx="3465830" cy="473710"/>
                  <wp:effectExtent l="9525" t="9525" r="10795" b="12065"/>
                  <wp:docPr id="124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830" cy="4737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/>
              <w:adjustRightInd w:val="0"/>
              <w:snapToGrid w:val="0"/>
              <w:spacing w:after="0" w:line="360" w:lineRule="auto"/>
              <w:jc w:val="center"/>
              <w:rPr>
                <w:lang w:eastAsia="zh-CN"/>
              </w:rPr>
            </w:pP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t xml:space="preserve">Imagen 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instrText xml:space="preserve"> SEQ Imagen \* ARABIC </w:instrTex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t>11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. Sección - Parámetros sin diligenciar</w:t>
            </w:r>
          </w:p>
        </w:tc>
        <w:tc>
          <w:tcPr>
            <w:tcW w:w="5508" w:type="dxa"/>
          </w:tcPr>
          <w:p>
            <w:pPr>
              <w:widowControl/>
              <w:adjustRightInd w:val="0"/>
              <w:snapToGrid w:val="0"/>
              <w:spacing w:after="0" w:line="360" w:lineRule="auto"/>
              <w:jc w:val="center"/>
            </w:pPr>
            <w:r>
              <w:drawing>
                <wp:inline distT="0" distB="0" distL="114300" distR="114300">
                  <wp:extent cx="3294380" cy="509270"/>
                  <wp:effectExtent l="9525" t="9525" r="10795" b="14605"/>
                  <wp:docPr id="1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/>
              <w:adjustRightInd w:val="0"/>
              <w:snapToGrid w:val="0"/>
              <w:spacing w:after="0" w:line="360" w:lineRule="auto"/>
              <w:jc w:val="center"/>
              <w:rPr>
                <w:lang w:eastAsia="zh-CN"/>
              </w:rPr>
            </w:pP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 xml:space="preserve">Imagen 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instrText xml:space="preserve"> SEQ Imagen \* ARABIC </w:instrTex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12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. Sección - Parámetros diligenciada</w:t>
            </w:r>
          </w:p>
        </w:tc>
      </w:tr>
    </w:tbl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Una vez ingresado los parámetros, deberá hacer clic en el botón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114300" distR="114300">
            <wp:extent cx="1285875" cy="238125"/>
            <wp:effectExtent l="0" t="0" r="9525" b="9525"/>
            <wp:docPr id="12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zh-CN"/>
        </w:rPr>
        <w:t xml:space="preserve"> y </w:t>
      </w:r>
      <w:r>
        <w:rPr>
          <w:rFonts w:ascii="Arial" w:hAnsi="Arial" w:cs="Arial"/>
          <w:sz w:val="24"/>
          <w:szCs w:val="24"/>
          <w:lang w:val="es-ES"/>
        </w:rPr>
        <w:t>el sistema empezará a cargar la información con base a los parámetros de consulta especificados. A continuación se muestra una imagen de los datos que el sistema le mostrará: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990080" cy="3754120"/>
            <wp:effectExtent l="9525" t="9525" r="10795" b="27305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0080" cy="3754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13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Información de la resolución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  <w:bookmarkStart w:id="15" w:name="_GoBack"/>
      <w:bookmarkEnd w:id="15"/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Después de cargada la información, deberá seleccionar la Fecha de la resolución y cargar el archivo en formato PDF de la resolución como se muestra a continuación: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338570" cy="3406140"/>
            <wp:effectExtent l="0" t="0" r="5080" b="381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14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Fecha y archivo de la resolución diligenciados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el </w:t>
      </w:r>
      <w:r>
        <w:rPr>
          <w:rFonts w:ascii="Arial" w:hAnsi="Arial" w:cs="Arial"/>
          <w:sz w:val="24"/>
          <w:szCs w:val="24"/>
          <w:lang w:eastAsia="zh-CN"/>
        </w:rPr>
        <w:t>cargue de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l archivo de la resolución, </w:t>
      </w:r>
      <w:r>
        <w:rPr>
          <w:rFonts w:ascii="Arial" w:hAnsi="Arial" w:cs="Arial"/>
          <w:sz w:val="24"/>
          <w:szCs w:val="24"/>
        </w:rPr>
        <w:t xml:space="preserve">deberá tener preparado </w:t>
      </w:r>
      <w:r>
        <w:rPr>
          <w:rFonts w:ascii="Arial" w:hAnsi="Arial" w:cs="Arial"/>
          <w:sz w:val="24"/>
          <w:szCs w:val="24"/>
          <w:lang w:val="es-ES"/>
        </w:rPr>
        <w:t xml:space="preserve">el </w:t>
      </w:r>
      <w:r>
        <w:rPr>
          <w:rFonts w:ascii="Arial" w:hAnsi="Arial" w:cs="Arial"/>
          <w:sz w:val="24"/>
          <w:szCs w:val="24"/>
        </w:rPr>
        <w:t xml:space="preserve">archivo </w:t>
      </w:r>
      <w:r>
        <w:rPr>
          <w:rFonts w:ascii="Arial" w:hAnsi="Arial" w:cs="Arial"/>
          <w:sz w:val="24"/>
          <w:szCs w:val="24"/>
          <w:lang w:val="es-ES"/>
        </w:rPr>
        <w:t>(en format PDF)</w:t>
      </w:r>
      <w:r>
        <w:rPr>
          <w:rFonts w:ascii="Arial" w:hAnsi="Arial" w:cs="Arial"/>
          <w:sz w:val="24"/>
          <w:szCs w:val="24"/>
        </w:rPr>
        <w:t xml:space="preserve"> a procesar en </w:t>
      </w:r>
      <w:r>
        <w:rPr>
          <w:rFonts w:ascii="Arial" w:hAnsi="Arial" w:cs="Arial"/>
          <w:sz w:val="24"/>
          <w:szCs w:val="24"/>
          <w:lang w:val="es-ES"/>
        </w:rPr>
        <w:t>una</w:t>
      </w:r>
      <w:r>
        <w:rPr>
          <w:rFonts w:ascii="Arial" w:hAnsi="Arial" w:cs="Arial"/>
          <w:sz w:val="24"/>
          <w:szCs w:val="24"/>
        </w:rPr>
        <w:t xml:space="preserve"> ruta de su computador local.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Una vez definido y guardado en la ruta local de su computador</w:t>
      </w:r>
      <w:r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</w:rPr>
        <w:t xml:space="preserve">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247015" cy="226060"/>
            <wp:effectExtent l="0" t="0" r="635" b="2540"/>
            <wp:docPr id="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buscar el archivo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6" w:type="dxa"/>
          </w:tcPr>
          <w:p>
            <w:pPr>
              <w:widowControl w:val="0"/>
              <w:adjustRightInd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NOTA: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Para visualizar el archivo que se cargo</w:t>
            </w:r>
            <w:r>
              <w:rPr>
                <w:rFonts w:ascii="Arial" w:hAnsi="Arial" w:cs="Arial"/>
                <w:sz w:val="24"/>
                <w:szCs w:val="24"/>
              </w:rPr>
              <w:t xml:space="preserve">, deberá hacer clic en el botón </w:t>
            </w:r>
            <w:r>
              <w:drawing>
                <wp:inline distT="0" distB="0" distL="114300" distR="114300">
                  <wp:extent cx="238125" cy="228600"/>
                  <wp:effectExtent l="0" t="0" r="9525" b="0"/>
                  <wp:docPr id="27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.</w:t>
            </w:r>
          </w:p>
        </w:tc>
      </w:tr>
    </w:tbl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6217285" cy="469265"/>
            <wp:effectExtent l="9525" t="9525" r="21590" b="16510"/>
            <wp:docPr id="2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6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15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Opción para cargue de archivo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6249670" cy="471805"/>
            <wp:effectExtent l="9525" t="9525" r="27305" b="13970"/>
            <wp:docPr id="2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71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16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Clic en el botón para buscar el archivo en su computador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Después deberá de buscar y seleccionar el archivo de la resolución como se muestra a continuación: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3735070" cy="2169795"/>
            <wp:effectExtent l="0" t="0" r="17780" b="1905"/>
            <wp:docPr id="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17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Búsqueda y selección de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l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 archivo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cargado el archivo, deberá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128395" cy="212090"/>
            <wp:effectExtent l="0" t="0" r="14605" b="1651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y el sistema le mostrará un mensaje de confirmación para procesar la resolución, al cual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4800" cy="213995"/>
            <wp:effectExtent l="0" t="0" r="0" b="146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para continuar.</w:t>
      </w:r>
    </w:p>
    <w:p>
      <w:pPr>
        <w:adjustRightInd w:val="0"/>
        <w:snapToGrid w:val="0"/>
        <w:spacing w:after="0" w:line="360" w:lineRule="auto"/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606800" cy="1309370"/>
            <wp:effectExtent l="0" t="0" r="12700" b="508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. Mensaje de confirmación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para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 proces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ar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 la resolución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/>
        </w:rPr>
        <w:t>Una vez confirmado el proceso de la resolución, el sistema le mostrará otro mensaje de confirmación</w:t>
      </w:r>
      <w:r>
        <w:rPr>
          <w:rFonts w:ascii="Arial" w:hAnsi="Arial" w:cs="Arial"/>
          <w:sz w:val="24"/>
          <w:szCs w:val="24"/>
        </w:rPr>
        <w:t xml:space="preserve"> para adjuntar el archivo</w:t>
      </w:r>
      <w:r>
        <w:rPr>
          <w:rFonts w:ascii="Arial" w:hAnsi="Arial" w:cs="Arial"/>
          <w:sz w:val="24"/>
          <w:szCs w:val="24"/>
          <w:lang w:val="es-ES"/>
        </w:rPr>
        <w:t xml:space="preserve">. Para continuar,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4800" cy="213995"/>
            <wp:effectExtent l="0" t="0" r="0" b="146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664585" cy="1158240"/>
            <wp:effectExtent l="0" t="0" r="12065" b="3810"/>
            <wp:docPr id="3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19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confirmación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 para adjuntar archivo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Luego se adjuntará el archivo y el sistema le informara que el proceso se realizo con éxito. </w:t>
      </w:r>
      <w:r>
        <w:rPr>
          <w:rFonts w:ascii="Arial" w:hAnsi="Arial" w:cs="Arial"/>
          <w:sz w:val="24"/>
          <w:szCs w:val="24"/>
          <w:lang w:val="es-ES"/>
        </w:rPr>
        <w:t xml:space="preserve">Para continuar,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4800" cy="213995"/>
            <wp:effectExtent l="0" t="0" r="0" b="146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223260" cy="1018540"/>
            <wp:effectExtent l="0" t="0" r="15240" b="10160"/>
            <wp:docPr id="4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20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Mensaje de proceso exitoso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Al finalizar el sistema le informara que la resolución se proceso correctamente,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4800" cy="213995"/>
            <wp:effectExtent l="0" t="0" r="0" b="146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terminar</w:t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156585" cy="1137920"/>
            <wp:effectExtent l="0" t="0" r="5715" b="5080"/>
            <wp:docPr id="4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21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Mensaje de resolución procesada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3"/>
        <w:numPr>
          <w:ilvl w:val="1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7" w:name="_Toc29874"/>
      <w:r>
        <w:rPr>
          <w:lang w:val="es-ES" w:eastAsia="zh-CN"/>
        </w:rPr>
        <w:t>CARGUE ARCHIVOS RESOLUCIÓN IGAC</w:t>
      </w:r>
      <w:bookmarkEnd w:id="7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A través de la siguiente funcionalidad podrá realizar </w:t>
      </w:r>
      <w:r>
        <w:rPr>
          <w:rFonts w:ascii="Arial" w:hAnsi="Arial" w:cs="Arial"/>
          <w:sz w:val="24"/>
          <w:szCs w:val="24"/>
          <w:lang w:val="es-ES" w:eastAsia="zh-CN"/>
        </w:rPr>
        <w:t>el cargue de archivos de resoluciones IGAC</w:t>
      </w:r>
      <w:r>
        <w:rPr>
          <w:rFonts w:ascii="Arial" w:hAnsi="Arial" w:cs="Arial"/>
          <w:sz w:val="24"/>
          <w:szCs w:val="24"/>
          <w:lang w:eastAsia="zh-CN"/>
        </w:rPr>
        <w:t>. A continuación, se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sz w:val="24"/>
          <w:szCs w:val="24"/>
          <w:lang w:eastAsia="zh-CN"/>
        </w:rPr>
        <w:t>explica la funcionalidad a detalle para llevar a cabo dicho proceso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8" w:name="_Toc26693"/>
      <w:r>
        <w:rPr>
          <w:lang w:val="es-ES" w:eastAsia="zh-CN"/>
        </w:rPr>
        <w:t>Acceso a la opción.</w:t>
      </w:r>
      <w:bookmarkEnd w:id="8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el cargue de archivos de resoluciones IGAC, se debe acceder por la siguiente ruta del menú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Procesos de Usuario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Resoluciones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Resolución IGAC </w:t>
      </w:r>
      <w:r>
        <w:rPr>
          <w:rFonts w:ascii="Arial" w:hAnsi="Arial" w:cs="Arial"/>
          <w:sz w:val="24"/>
          <w:szCs w:val="24"/>
          <w:lang w:val="es-ES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Cargue Archivos Resolución IGAC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Cargue Archivos Resolución IGAC</w:t>
      </w:r>
      <w:r>
        <w:rPr>
          <w:rFonts w:ascii="Arial" w:hAnsi="Arial" w:cs="Arial"/>
          <w:sz w:val="24"/>
          <w:szCs w:val="24"/>
          <w:lang w:val="es-ES" w:eastAsia="zh-CN"/>
        </w:rPr>
        <w:t>, tal como se observa en la imagen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114300" distR="114300">
            <wp:extent cx="2331720" cy="652780"/>
            <wp:effectExtent l="0" t="0" r="11430" b="13970"/>
            <wp:docPr id="9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22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Acceso a la Opción - Cargue archivos resolución IGAC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>Después de haber hecho doble clic en la opción, se mostrará la siguiente ventana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114300" distR="114300">
            <wp:extent cx="6748145" cy="3118485"/>
            <wp:effectExtent l="0" t="0" r="14605" b="5715"/>
            <wp:docPr id="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23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Opción - Opción - Cargue archivos resolución IGAC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9" w:name="_Toc22771"/>
      <w:r>
        <w:rPr>
          <w:lang w:val="es-ES" w:eastAsia="zh-CN"/>
        </w:rPr>
        <w:t>Cargar archivos.</w:t>
      </w:r>
      <w:bookmarkEnd w:id="9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el </w:t>
      </w:r>
      <w:r>
        <w:rPr>
          <w:rFonts w:ascii="Arial" w:hAnsi="Arial" w:cs="Arial"/>
          <w:sz w:val="24"/>
          <w:szCs w:val="24"/>
          <w:lang w:eastAsia="zh-CN"/>
        </w:rPr>
        <w:t>cargue de archivos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deberá tener preparado un archivo de texto plano </w:t>
      </w:r>
      <w:r>
        <w:rPr>
          <w:rFonts w:ascii="Arial" w:hAnsi="Arial" w:cs="Arial"/>
          <w:sz w:val="24"/>
          <w:szCs w:val="24"/>
          <w:lang w:val="es-ES"/>
        </w:rPr>
        <w:t>o un archivo de datos de la resolución</w:t>
      </w:r>
      <w:r>
        <w:rPr>
          <w:rFonts w:ascii="Arial" w:hAnsi="Arial" w:cs="Arial"/>
          <w:sz w:val="24"/>
          <w:szCs w:val="24"/>
        </w:rPr>
        <w:t xml:space="preserve"> a procesar en la ruta de su computador local.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Una vez definido y guardado en la ruta local de su computador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204470" cy="187325"/>
            <wp:effectExtent l="0" t="0" r="5080" b="3175"/>
            <wp:docPr id="1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buscar el archivo y una vez encontrado,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00025" cy="193675"/>
            <wp:effectExtent l="0" t="0" r="9525" b="15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ser procesado y visualizado en la opción.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7077710" cy="302260"/>
            <wp:effectExtent l="9525" t="9525" r="18415" b="12065"/>
            <wp:docPr id="1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302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24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Opción para cargue de archivo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7076440" cy="302260"/>
            <wp:effectExtent l="9525" t="9525" r="19685" b="12065"/>
            <wp:docPr id="1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302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25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Clic en el botón para buscar el archivo en su computador</w:t>
      </w:r>
    </w:p>
    <w:p>
      <w:pPr>
        <w:widowControl w:val="0"/>
        <w:adjustRightInd w:val="0"/>
        <w:snapToGri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5"/>
        <w:gridCol w:w="5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6" w:type="dxa"/>
            <w:gridSpan w:val="2"/>
          </w:tcPr>
          <w:p>
            <w:pPr>
              <w:widowControl w:val="0"/>
              <w:adjustRightInd w:val="0"/>
              <w:snapToGrid w:val="0"/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NOTA: </w:t>
            </w:r>
            <w:r>
              <w:rPr>
                <w:rFonts w:ascii="Arial" w:hAnsi="Arial" w:cs="Arial"/>
                <w:sz w:val="24"/>
                <w:szCs w:val="24"/>
              </w:rPr>
              <w:t xml:space="preserve">Podrá seleccionar que tipo de archivo utilizará para el cargue de la resolución IGAC. Para seleccionar el tipo de archivo, deberá hacer clic sobre el icono </w:t>
            </w:r>
            <w:r>
              <w:rPr>
                <w:rFonts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161925" cy="161925"/>
                  <wp:effectExtent l="0" t="0" r="9525" b="9525"/>
                  <wp:docPr id="14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8" w:type="dxa"/>
          </w:tcPr>
          <w:p>
            <w:pPr>
              <w:widowControl w:val="0"/>
              <w:adjustRightInd w:val="0"/>
              <w:snapToGri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353435" cy="258445"/>
                  <wp:effectExtent l="9525" t="9525" r="27940" b="17780"/>
                  <wp:docPr id="14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35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 w:val="0"/>
              <w:adjustRightInd w:val="0"/>
              <w:snapToGrid w:val="0"/>
              <w:spacing w:after="0" w:line="360" w:lineRule="auto"/>
              <w:jc w:val="center"/>
            </w:pP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t xml:space="preserve">Imagen 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instrText xml:space="preserve"> SEQ Imagen \* ARABIC </w:instrTex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t>26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:lang w:val="es-ES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. Tipo - Archivo de datos</w:t>
            </w:r>
          </w:p>
        </w:tc>
        <w:tc>
          <w:tcPr>
            <w:tcW w:w="5508" w:type="dxa"/>
          </w:tcPr>
          <w:p>
            <w:pPr>
              <w:widowControl w:val="0"/>
              <w:adjustRightInd w:val="0"/>
              <w:snapToGrid w:val="0"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453765" cy="231775"/>
                  <wp:effectExtent l="9525" t="9525" r="22860" b="25400"/>
                  <wp:docPr id="14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65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widowControl w:val="0"/>
              <w:adjustRightInd w:val="0"/>
              <w:snapToGrid w:val="0"/>
              <w:spacing w:after="0" w:line="360" w:lineRule="auto"/>
              <w:jc w:val="center"/>
            </w:pP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 xml:space="preserve">Imagen 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instrText xml:space="preserve"> SEQ Imagen \* ARABIC </w:instrTex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27</w:t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  <w:r>
              <w:rPr>
                <w:rFonts w:eastAsiaTheme="minorHAnsi"/>
                <w:i/>
                <w:iCs/>
                <w:color w:val="44546A" w:themeColor="text2"/>
                <w:sz w:val="18"/>
                <w:szCs w:val="18"/>
                <w14:textFill>
                  <w14:solidFill>
                    <w14:schemeClr w14:val="tx2"/>
                  </w14:solidFill>
                </w14:textFill>
              </w:rPr>
              <w:t>. Tipo - Archivo de texto plano</w:t>
            </w:r>
          </w:p>
        </w:tc>
      </w:tr>
    </w:tbl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4362450" cy="2543175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Búsqueda y selección de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l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 archivo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6861175" cy="302260"/>
            <wp:effectExtent l="0" t="0" r="1587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29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Clic en el botón para subir y procesar el archivo seleccionado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 al cual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22580" cy="226060"/>
            <wp:effectExtent l="0" t="0" r="1270" b="254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4177665" cy="1478915"/>
            <wp:effectExtent l="0" t="0" r="13335" b="6985"/>
            <wp:docPr id="1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30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Mensaje de confirmación</w:t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hecho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25755" cy="228600"/>
            <wp:effectExtent l="0" t="0" r="1714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se mostrará un mensaje de información. Para continuar deberá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49885" cy="246380"/>
            <wp:effectExtent l="0" t="0" r="12065" b="127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4415790" cy="1577975"/>
            <wp:effectExtent l="0" t="0" r="3810" b="3175"/>
            <wp:docPr id="1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31</w:t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14:textFill>
            <w14:solidFill>
              <w14:schemeClr w14:val="tx2"/>
            </w14:solidFill>
          </w14:textFill>
        </w:rPr>
        <w:t>. Mensaje de información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Luego de haber hecho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13690" cy="220345"/>
            <wp:effectExtent l="0" t="0" r="10160" b="825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se iniciará el procesamiento del archivo cargado y </w:t>
      </w:r>
      <w:r>
        <w:rPr>
          <w:rFonts w:ascii="Arial" w:hAnsi="Arial" w:cs="Arial"/>
          <w:sz w:val="24"/>
          <w:szCs w:val="24"/>
          <w:lang w:val="es-ES"/>
        </w:rPr>
        <w:t xml:space="preserve">una vez finalizado </w:t>
      </w:r>
      <w:r>
        <w:rPr>
          <w:rFonts w:ascii="Arial" w:hAnsi="Arial" w:cs="Arial"/>
          <w:sz w:val="24"/>
          <w:szCs w:val="24"/>
        </w:rPr>
        <w:t xml:space="preserve">se mostrarán </w:t>
      </w:r>
      <w:r>
        <w:rPr>
          <w:rFonts w:ascii="Arial" w:hAnsi="Arial" w:cs="Arial"/>
          <w:sz w:val="24"/>
          <w:szCs w:val="24"/>
          <w:lang w:val="es-ES"/>
        </w:rPr>
        <w:t>la información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 la sección </w:t>
      </w:r>
      <w:r>
        <w:rPr>
          <w:rFonts w:ascii="Arial" w:hAnsi="Arial" w:cs="Arial"/>
          <w:b/>
          <w:bCs/>
          <w:sz w:val="24"/>
          <w:szCs w:val="24"/>
          <w:lang w:val="es-ES"/>
        </w:rPr>
        <w:t>Registro Tipo I</w:t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>
      <w:pPr>
        <w:keepNext/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6853555" cy="2153920"/>
            <wp:effectExtent l="9525" t="9525" r="13970" b="2730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2153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32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Sección - Registro tipo I</w:t>
      </w:r>
    </w:p>
    <w:p>
      <w:pPr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Una vez se visualice la información, tendrá la opción de ver el registro de la resolución de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Tipo II</w:t>
      </w:r>
      <w:r>
        <w:rPr>
          <w:rFonts w:ascii="Arial" w:hAnsi="Arial" w:cs="Arial"/>
          <w:sz w:val="24"/>
          <w:szCs w:val="24"/>
          <w:lang w:eastAsia="zh-CN"/>
        </w:rPr>
        <w:t xml:space="preserve"> y </w:t>
      </w:r>
      <w:r>
        <w:rPr>
          <w:rFonts w:ascii="Arial" w:hAnsi="Arial" w:cs="Arial"/>
          <w:b/>
          <w:bCs/>
          <w:sz w:val="24"/>
          <w:szCs w:val="24"/>
          <w:lang w:eastAsia="zh-CN"/>
        </w:rPr>
        <w:t>Tipo III</w:t>
      </w:r>
      <w:r>
        <w:rPr>
          <w:rFonts w:ascii="Arial" w:hAnsi="Arial" w:cs="Arial"/>
          <w:sz w:val="24"/>
          <w:szCs w:val="24"/>
          <w:lang w:eastAsia="zh-CN"/>
        </w:rPr>
        <w:t xml:space="preserve">. Para realizarlo, deberá hacer clic en el botón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114300" distR="114300">
            <wp:extent cx="1115060" cy="240665"/>
            <wp:effectExtent l="0" t="0" r="8890" b="6985"/>
            <wp:docPr id="4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zh-CN"/>
        </w:rPr>
        <w:t xml:space="preserve"> o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114300" distR="114300">
            <wp:extent cx="1156335" cy="215900"/>
            <wp:effectExtent l="0" t="0" r="5715" b="12700"/>
            <wp:docPr id="4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eastAsia="zh-CN"/>
        </w:rPr>
        <w:t xml:space="preserve"> como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236970" cy="2881630"/>
            <wp:effectExtent l="0" t="0" r="11430" b="1397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33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Registro de la resolución - Tipo II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419215" cy="2966720"/>
            <wp:effectExtent l="0" t="0" r="635" b="508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34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Registro de la resolución - Tipo III</w:t>
      </w:r>
    </w:p>
    <w:p>
      <w:pPr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generada la información, deberá hacer clic en el botón </w:t>
      </w:r>
      <w:r>
        <w:drawing>
          <wp:inline distT="0" distB="0" distL="114300" distR="114300">
            <wp:extent cx="1304925" cy="266700"/>
            <wp:effectExtent l="0" t="0" r="9525" b="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 w:eastAsia="zh-CN"/>
        </w:rPr>
        <w:t>como se muestra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5165090" cy="2386965"/>
            <wp:effectExtent l="0" t="0" r="16510" b="13335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35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Botón - Registrar archivo</w:t>
      </w:r>
    </w:p>
    <w:p>
      <w:pPr>
        <w:rPr>
          <w:rFonts w:ascii="Arial" w:hAnsi="Arial" w:cs="Arial"/>
          <w:sz w:val="24"/>
          <w:szCs w:val="24"/>
          <w:lang w:eastAsia="zh-CN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El sistema le pedirá que confirme para realizar el registro del archivo, deberá de aceptar haciendo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61620" cy="184150"/>
            <wp:effectExtent l="0" t="0" r="508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 Una vez realizado se iniciará el proceso de registro y al finalizar le mostrará un mensaje informando que se realizo el registro correctamente.</w:t>
      </w:r>
    </w:p>
    <w:p>
      <w:pPr>
        <w:rPr>
          <w:rFonts w:ascii="Arial" w:hAnsi="Arial" w:cs="Arial"/>
          <w:sz w:val="24"/>
          <w:szCs w:val="24"/>
          <w:lang w:eastAsia="zh-CN"/>
        </w:rPr>
      </w:pPr>
    </w:p>
    <w:p>
      <w:pPr>
        <w:pStyle w:val="3"/>
        <w:numPr>
          <w:ilvl w:val="1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0" w:name="_Toc14242"/>
      <w:r>
        <w:rPr>
          <w:lang w:val="es-ES" w:eastAsia="zh-CN"/>
        </w:rPr>
        <w:t>CONSULTA DE RESOLUCIONES IGAC</w:t>
      </w:r>
      <w:bookmarkEnd w:id="10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A través de la siguiente funcionalidad podrá realizar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la consulta </w:t>
      </w:r>
      <w:r>
        <w:rPr>
          <w:rFonts w:ascii="Arial" w:hAnsi="Arial" w:cs="Arial"/>
          <w:sz w:val="24"/>
          <w:szCs w:val="24"/>
          <w:lang w:eastAsia="zh-CN"/>
        </w:rPr>
        <w:t>de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las</w:t>
      </w:r>
      <w:r>
        <w:rPr>
          <w:rFonts w:ascii="Arial" w:hAnsi="Arial" w:cs="Arial"/>
          <w:sz w:val="24"/>
          <w:szCs w:val="24"/>
          <w:lang w:eastAsia="zh-CN"/>
        </w:rPr>
        <w:t xml:space="preserve"> </w:t>
      </w:r>
      <w:r>
        <w:rPr>
          <w:rFonts w:ascii="Arial" w:hAnsi="Arial" w:cs="Arial"/>
          <w:sz w:val="24"/>
          <w:szCs w:val="24"/>
          <w:lang w:val="es-ES" w:eastAsia="zh-CN"/>
        </w:rPr>
        <w:t>resoluciones IGAC</w:t>
      </w:r>
      <w:r>
        <w:rPr>
          <w:rFonts w:ascii="Arial" w:hAnsi="Arial" w:cs="Arial"/>
          <w:sz w:val="24"/>
          <w:szCs w:val="24"/>
          <w:lang w:eastAsia="zh-CN"/>
        </w:rPr>
        <w:t>. A continuación, se</w:t>
      </w:r>
      <w:r>
        <w:rPr>
          <w:rFonts w:ascii="Arial" w:hAnsi="Arial" w:cs="Arial"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sz w:val="24"/>
          <w:szCs w:val="24"/>
          <w:lang w:eastAsia="zh-CN"/>
        </w:rPr>
        <w:t>explica la funcionalidad a detalle para llevar a cabo dicho proceso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1" w:name="_Toc4254"/>
      <w:r>
        <w:rPr>
          <w:lang w:val="es-ES" w:eastAsia="zh-CN"/>
        </w:rPr>
        <w:t>Acceso a la opción.</w:t>
      </w:r>
      <w:bookmarkEnd w:id="11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la consulta de resoluciones IGAC, se debe acceder por la siguiente ruta del menú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Procesos de Usuario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Resoluciones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Resolución IGAC </w:t>
      </w:r>
      <w:r>
        <w:rPr>
          <w:rFonts w:ascii="Arial" w:hAnsi="Arial" w:cs="Arial"/>
          <w:sz w:val="24"/>
          <w:szCs w:val="24"/>
          <w:lang w:val="es-ES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Consulta de Resoluciones IGAC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Consulta de Resoluciones IGAC</w:t>
      </w:r>
      <w:r>
        <w:rPr>
          <w:rFonts w:ascii="Arial" w:hAnsi="Arial" w:cs="Arial"/>
          <w:sz w:val="24"/>
          <w:szCs w:val="24"/>
          <w:lang w:val="es-ES" w:eastAsia="zh-CN"/>
        </w:rPr>
        <w:t>, tal como se observa en la imagen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drawing>
          <wp:inline distT="0" distB="0" distL="114300" distR="114300">
            <wp:extent cx="2242185" cy="641985"/>
            <wp:effectExtent l="0" t="0" r="5715" b="5715"/>
            <wp:docPr id="1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36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Acceso a la Opción - Consulta de resoluciones IGAC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eastAsia="zh-CN"/>
        </w:rPr>
        <w:t>Después de haber hecho doble clic en la opción, se mostrará la siguiente ventana</w:t>
      </w:r>
      <w:r>
        <w:rPr>
          <w:rFonts w:ascii="Arial" w:hAnsi="Arial" w:cs="Arial"/>
          <w:sz w:val="24"/>
          <w:szCs w:val="24"/>
          <w:lang w:val="es-ES" w:eastAsia="zh-CN"/>
        </w:rPr>
        <w:t>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drawing>
          <wp:inline distT="0" distB="0" distL="114300" distR="114300">
            <wp:extent cx="6449060" cy="3230245"/>
            <wp:effectExtent l="0" t="0" r="8890" b="8255"/>
            <wp:docPr id="10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37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Opción - Consulta de resoluciones IGAC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color w:val="44546A" w:themeColor="text2"/>
          <w:sz w:val="24"/>
          <w:szCs w:val="24"/>
          <w:lang w:val="es-ES"/>
          <w14:textFill>
            <w14:solidFill>
              <w14:schemeClr w14:val="tx2"/>
            </w14:solidFill>
          </w14:textFill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2" w:name="_Toc20738"/>
      <w:r>
        <w:rPr>
          <w:lang w:val="es-ES" w:eastAsia="zh-CN"/>
        </w:rPr>
        <w:t>Parámetros de consulta.</w:t>
      </w:r>
      <w:bookmarkEnd w:id="12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la consulta, lo primero que debe realizar es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266825" cy="257175"/>
            <wp:effectExtent l="0" t="0" r="9525" b="9525"/>
            <wp:docPr id="1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>. Una vez haya hecho clic en el botón, se mostrará la siguiente ventana: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228975" cy="1918335"/>
            <wp:effectExtent l="0" t="0" r="9525" b="5715"/>
            <wp:docPr id="1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Ventana - Parámetros de consulta</w:t>
      </w:r>
    </w:p>
    <w:p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Luego de haber visualizado la ventana, deberá ingresar o seleccionar cualquiera de los parámetros de consulta tales como: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No. Resolución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No. Radicación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Referencia</w:t>
      </w:r>
      <w:r>
        <w:rPr>
          <w:rFonts w:ascii="Arial" w:hAnsi="Arial" w:cs="Arial"/>
          <w:sz w:val="24"/>
          <w:szCs w:val="24"/>
          <w:lang w:val="es-ES" w:eastAsia="zh-CN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>Vigencia</w:t>
      </w:r>
      <w:r>
        <w:rPr>
          <w:rFonts w:ascii="Arial" w:hAnsi="Arial" w:cs="Arial"/>
          <w:sz w:val="24"/>
          <w:szCs w:val="24"/>
          <w:lang w:val="es-ES" w:eastAsia="zh-CN"/>
        </w:rPr>
        <w:t>,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el cual deberá hacer clic sobre el icono </w:t>
      </w:r>
      <w:r>
        <w:rPr>
          <w:rFonts w:ascii="Arial" w:hAnsi="Arial" w:cs="Arial"/>
          <w:sz w:val="24"/>
          <w:szCs w:val="24"/>
          <w:lang w:eastAsia="zh-CN"/>
        </w:rPr>
        <w:drawing>
          <wp:inline distT="0" distB="0" distL="114300" distR="114300">
            <wp:extent cx="228600" cy="2190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y por último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Aplicada, </w:t>
      </w:r>
      <w:r>
        <w:rPr>
          <w:rFonts w:ascii="Arial" w:hAnsi="Arial" w:cs="Arial"/>
          <w:sz w:val="24"/>
          <w:szCs w:val="24"/>
          <w:lang w:val="es-ES" w:eastAsia="zh-CN"/>
        </w:rPr>
        <w:t xml:space="preserve">para seleccionar deberá hacer clic sobre el icono </w:t>
      </w:r>
      <w:r>
        <w:rPr>
          <w:rFonts w:ascii="Arial" w:hAnsi="Arial" w:cs="Arial"/>
          <w:sz w:val="24"/>
          <w:szCs w:val="24"/>
          <w:lang w:val="en-US" w:eastAsia="zh-CN"/>
        </w:rPr>
        <w:drawing>
          <wp:inline distT="0" distB="0" distL="114300" distR="114300">
            <wp:extent cx="161925" cy="152400"/>
            <wp:effectExtent l="0" t="0" r="9525" b="0"/>
            <wp:docPr id="11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6" w:type="dxa"/>
          </w:tcPr>
          <w:p>
            <w:pPr>
              <w:widowControl/>
              <w:adjustRightInd w:val="0"/>
              <w:snapToGri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ES" w:eastAsia="zh-CN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 w:eastAsia="zh-CN"/>
              </w:rPr>
              <w:t xml:space="preserve">NOTA: </w:t>
            </w:r>
            <w:r>
              <w:rPr>
                <w:rFonts w:ascii="Arial" w:hAnsi="Arial" w:cs="Arial"/>
                <w:sz w:val="24"/>
                <w:szCs w:val="24"/>
                <w:lang w:val="es-ES" w:eastAsia="zh-CN"/>
              </w:rPr>
              <w:t>Para realizar una consulta mas especifica, deberá ingresar o seleccionar todos los parámetros de consulta.</w:t>
            </w:r>
          </w:p>
        </w:tc>
      </w:tr>
    </w:tbl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315335" cy="1969770"/>
            <wp:effectExtent l="0" t="0" r="18415" b="11430"/>
            <wp:docPr id="1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39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Parámetros de consulta utilizados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ingresado los parámetros, deberá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295400" cy="266700"/>
            <wp:effectExtent l="0" t="0" r="0" b="0"/>
            <wp:docPr id="1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de confirmación, al cual deberá hacer clic en en botón </w: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361950" cy="257175"/>
            <wp:effectExtent l="0" t="0" r="0" b="9525"/>
            <wp:docPr id="7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como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829050" cy="1352550"/>
            <wp:effectExtent l="0" t="0" r="0" b="0"/>
            <wp:docPr id="1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40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confirmación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361950" cy="257175"/>
            <wp:effectExtent l="0" t="0" r="0" b="9525"/>
            <wp:docPr id="1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, el sistema empezará a cargar información con base a los parámetros de consulta especificados. A continuación se muestra una imagen de los datos que el sistema le mostrará: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5347335" cy="2676525"/>
            <wp:effectExtent l="9525" t="9525" r="15240" b="19050"/>
            <wp:docPr id="1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41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Información relacionada con la consulta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3" w:name="_Toc28286"/>
      <w:r>
        <w:rPr>
          <w:lang w:val="es-ES" w:eastAsia="zh-CN"/>
        </w:rPr>
        <w:t>Imprimir consulta por resolución.</w:t>
      </w:r>
      <w:bookmarkEnd w:id="13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la impresión, deberá hacer clic sobre el icono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277495" cy="238125"/>
            <wp:effectExtent l="0" t="0" r="8255" b="9525"/>
            <wp:docPr id="1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el cual se encuentra ubicado después del campo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Resolución </w:t>
      </w:r>
      <w:r>
        <w:rPr>
          <w:rFonts w:ascii="Arial" w:hAnsi="Arial" w:cs="Arial"/>
          <w:sz w:val="24"/>
          <w:szCs w:val="24"/>
          <w:lang w:val="es-ES" w:eastAsia="zh-CN"/>
        </w:rPr>
        <w:t>como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5375910" cy="2689225"/>
            <wp:effectExtent l="9525" t="9525" r="24765" b="25400"/>
            <wp:docPr id="5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68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42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Ubicación botón - Imprimir consulta por resolución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haya hecho clic, el sistema le mostrará un mensaje de información a cerca de la resolución seleccionada para imprimir. Para continuar haga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00050" cy="280670"/>
            <wp:effectExtent l="0" t="0" r="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07" cy="2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3857625" cy="1362075"/>
            <wp:effectExtent l="0" t="0" r="9525" b="9525"/>
            <wp:docPr id="5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43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información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Luego podrá visualizar la siguiente ventana: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375400" cy="3096260"/>
            <wp:effectExtent l="0" t="0" r="6350" b="8890"/>
            <wp:docPr id="6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3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44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Ventana - Imprimir consulta por resolución</w:t>
      </w:r>
    </w:p>
    <w:p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generar el archivo Excel, deberá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137285" cy="231140"/>
            <wp:effectExtent l="0" t="0" r="5715" b="16510"/>
            <wp:docPr id="6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3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com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4735195" cy="2299970"/>
            <wp:effectExtent l="0" t="0" r="8255" b="5080"/>
            <wp:docPr id="6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3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45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Botón - Generar archivo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102995" cy="224155"/>
            <wp:effectExtent l="0" t="0" r="1905" b="4445"/>
            <wp:docPr id="6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3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de informando que se genero el archivo, deberá de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0990" cy="211455"/>
            <wp:effectExtent l="0" t="0" r="3810" b="171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para continuar.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390900" cy="991235"/>
            <wp:effectExtent l="0" t="0" r="0" b="18415"/>
            <wp:docPr id="6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46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generación de archivo exitoso</w:t>
      </w:r>
    </w:p>
    <w:p>
      <w:pPr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el sistema mostrará una ventana de procesamiento a Excel como se muestra a continuación.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953260" cy="1227455"/>
            <wp:effectExtent l="9525" t="9525" r="18415" b="203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2274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47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Generación de reporte en proceso</w:t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6900" cy="186055"/>
            <wp:effectExtent l="0" t="0" r="1270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775450" cy="892175"/>
            <wp:effectExtent l="0" t="0" r="635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confirmación de Microsoft Excel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>
        <w:rPr>
          <w:rFonts w:ascii="Arial" w:hAnsi="Arial" w:cs="Arial"/>
          <w:sz w:val="24"/>
          <w:szCs w:val="24"/>
        </w:rPr>
        <w:t>na vez realizado, se abrirá el programa mostrando el informe</w:t>
      </w:r>
      <w:r>
        <w:rPr>
          <w:rFonts w:ascii="Arial" w:hAnsi="Arial" w:cs="Arial"/>
          <w:sz w:val="24"/>
          <w:szCs w:val="24"/>
          <w:lang w:val="es-ES"/>
        </w:rPr>
        <w:t xml:space="preserve"> generado.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También podrá generar un archivo de texto plano. Para realizarlo, deberá ubicarse en la siguiente ventana y una vez ahí deberá hacer clic en el botón </w:t>
      </w:r>
      <w:r>
        <w:drawing>
          <wp:inline distT="0" distB="0" distL="114300" distR="114300">
            <wp:extent cx="1201420" cy="243840"/>
            <wp:effectExtent l="0" t="0" r="17780" b="3810"/>
            <wp:docPr id="7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4114800" cy="1998980"/>
            <wp:effectExtent l="0" t="0" r="0" b="1270"/>
            <wp:docPr id="7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3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49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Botón - Imprimir plano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hacer clic en el botón </w:t>
      </w:r>
      <w:r>
        <w:drawing>
          <wp:inline distT="0" distB="0" distL="114300" distR="114300">
            <wp:extent cx="1201420" cy="243840"/>
            <wp:effectExtent l="0" t="0" r="17780" b="3810"/>
            <wp:docPr id="8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de informando que se genero el archivo, deberá de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0990" cy="211455"/>
            <wp:effectExtent l="0" t="0" r="3810" b="1714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para finalizar.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3653155" cy="945515"/>
            <wp:effectExtent l="0" t="0" r="4445" b="6985"/>
            <wp:docPr id="8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4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50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generación de archivo exitoso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4"/>
        <w:numPr>
          <w:ilvl w:val="2"/>
          <w:numId w:val="1"/>
        </w:numPr>
        <w:adjustRightInd w:val="0"/>
        <w:snapToGrid w:val="0"/>
        <w:spacing w:before="0"/>
        <w:ind w:left="0" w:firstLine="0"/>
        <w:rPr>
          <w:lang w:val="es-ES" w:eastAsia="zh-CN"/>
        </w:rPr>
      </w:pPr>
      <w:bookmarkStart w:id="14" w:name="_Toc30726"/>
      <w:r>
        <w:rPr>
          <w:lang w:val="es-ES" w:eastAsia="zh-CN"/>
        </w:rPr>
        <w:t>Imprimir consulta por radicación.</w:t>
      </w:r>
      <w:bookmarkEnd w:id="14"/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realizar la impresión, deberá hacer clic sobre el icono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277495" cy="238125"/>
            <wp:effectExtent l="0" t="0" r="8255" b="9525"/>
            <wp:docPr id="8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49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el cual se encuentra ubicado después del campo </w:t>
      </w:r>
      <w:r>
        <w:rPr>
          <w:rFonts w:ascii="Arial" w:hAnsi="Arial" w:cs="Arial"/>
          <w:b/>
          <w:bCs/>
          <w:sz w:val="24"/>
          <w:szCs w:val="24"/>
          <w:lang w:val="es-ES" w:eastAsia="zh-CN"/>
        </w:rPr>
        <w:t xml:space="preserve">Radicación </w:t>
      </w:r>
      <w:r>
        <w:rPr>
          <w:rFonts w:ascii="Arial" w:hAnsi="Arial" w:cs="Arial"/>
          <w:sz w:val="24"/>
          <w:szCs w:val="24"/>
          <w:lang w:val="es-ES" w:eastAsia="zh-CN"/>
        </w:rPr>
        <w:t>como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828790" cy="3417570"/>
            <wp:effectExtent l="9525" t="9525" r="19685" b="20955"/>
            <wp:docPr id="10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4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41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51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Ubicación botón - Imprimir consulta por radicación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Una vez haya hecho clic, el sistema le mostrará un mensaje de información a cerca de la resolución seleccionada para imprimir. Para continuar haga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13690" cy="220345"/>
            <wp:effectExtent l="0" t="0" r="1016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114300" distR="114300">
            <wp:extent cx="4065905" cy="1600200"/>
            <wp:effectExtent l="0" t="0" r="10795" b="0"/>
            <wp:docPr id="11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4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52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información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>Luego podrá visualizar la siguiente ventana: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383655" cy="3115945"/>
            <wp:effectExtent l="0" t="0" r="17145" b="8255"/>
            <wp:docPr id="12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4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53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Ventana - Imprimir consulta por radicación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Para generar el archivo Excel, deberá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137285" cy="231140"/>
            <wp:effectExtent l="0" t="0" r="5715" b="16510"/>
            <wp:docPr id="8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3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 com se muestra a continuación: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557645" cy="3201035"/>
            <wp:effectExtent l="0" t="0" r="14605" b="18415"/>
            <wp:docPr id="12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4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54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Botón - Generar archivo</w:t>
      </w:r>
    </w:p>
    <w:p>
      <w:pPr>
        <w:adjustRightInd w:val="0"/>
        <w:snapToGrid w:val="0"/>
        <w:spacing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hacer clic en el botón </w:t>
      </w:r>
      <w:r>
        <w:rPr>
          <w:rFonts w:ascii="Arial" w:hAnsi="Arial" w:cs="Arial"/>
          <w:sz w:val="24"/>
          <w:szCs w:val="24"/>
          <w:lang w:val="es-ES" w:eastAsia="zh-CN"/>
        </w:rPr>
        <w:drawing>
          <wp:inline distT="0" distB="0" distL="114300" distR="114300">
            <wp:extent cx="1102995" cy="224155"/>
            <wp:effectExtent l="0" t="0" r="1905" b="4445"/>
            <wp:docPr id="8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3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de informando que se genero el archivo, deberá de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0990" cy="211455"/>
            <wp:effectExtent l="0" t="0" r="3810" b="1714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para continuar.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4800600" cy="1352550"/>
            <wp:effectExtent l="0" t="0" r="0" b="0"/>
            <wp:docPr id="12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55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generación de archivo exitoso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el sistema mostrará una ventana de procesamiento a Excel como se muestra a continuación.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597150" cy="1631950"/>
            <wp:effectExtent l="9525" t="9525" r="22225" b="1587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6319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56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Generación de reporte en proceso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6900" cy="186055"/>
            <wp:effectExtent l="0" t="0" r="1270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adjustRightInd w:val="0"/>
        <w:snapToGri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775450" cy="892175"/>
            <wp:effectExtent l="0" t="0" r="6350" b="31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57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confirmación de Microsoft Excel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>
        <w:rPr>
          <w:rFonts w:ascii="Arial" w:hAnsi="Arial" w:cs="Arial"/>
          <w:sz w:val="24"/>
          <w:szCs w:val="24"/>
        </w:rPr>
        <w:t>na vez realizado, se abrirá el programa mostrando el informe</w:t>
      </w:r>
      <w:r>
        <w:rPr>
          <w:rFonts w:ascii="Arial" w:hAnsi="Arial" w:cs="Arial"/>
          <w:sz w:val="24"/>
          <w:szCs w:val="24"/>
          <w:lang w:val="es-ES"/>
        </w:rPr>
        <w:t xml:space="preserve"> generado.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También podrá generar un archivo de texto plano. Para realizarlo, deberá ubicarse en la siguiente ventana y una vez ahí deberá hacer clic en el botón </w:t>
      </w:r>
      <w:r>
        <w:drawing>
          <wp:inline distT="0" distB="0" distL="114300" distR="114300">
            <wp:extent cx="1201420" cy="243840"/>
            <wp:effectExtent l="0" t="0" r="17780" b="3810"/>
            <wp:docPr id="10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>.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6470015" cy="3157855"/>
            <wp:effectExtent l="0" t="0" r="6985" b="4445"/>
            <wp:docPr id="12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rFonts w:eastAsiaTheme="minorHAnsi"/>
          <w:i/>
          <w:iCs/>
          <w:color w:val="44546A" w:themeColor="text2"/>
          <w:sz w:val="18"/>
          <w:szCs w:val="18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58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Botón - Imprimir plano</w:t>
      </w:r>
    </w:p>
    <w:p>
      <w:pPr>
        <w:adjustRightInd w:val="0"/>
        <w:snapToGrid w:val="0"/>
        <w:spacing w:after="0" w:line="360" w:lineRule="auto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t xml:space="preserve">Después de hacer clic en el botón </w:t>
      </w:r>
      <w:r>
        <w:drawing>
          <wp:inline distT="0" distB="0" distL="114300" distR="114300">
            <wp:extent cx="1201420" cy="243840"/>
            <wp:effectExtent l="0" t="0" r="17780" b="3810"/>
            <wp:docPr id="10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 w:eastAsia="zh-CN"/>
        </w:rPr>
        <w:t xml:space="preserve">, el sistema le mostrará un mensaje de informando que se genero el archivo, deberá de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0990" cy="211455"/>
            <wp:effectExtent l="0" t="0" r="3810" b="1714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para finalizar.</w:t>
      </w:r>
    </w:p>
    <w:p>
      <w:pPr>
        <w:adjustRightInd w:val="0"/>
        <w:snapToGri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 w:eastAsia="zh-CN"/>
        </w:rPr>
      </w:pPr>
    </w:p>
    <w:p>
      <w:pPr>
        <w:adjustRightInd w:val="0"/>
        <w:snapToGrid w:val="0"/>
        <w:spacing w:after="0" w:line="360" w:lineRule="auto"/>
        <w:jc w:val="center"/>
      </w:pPr>
      <w:r>
        <w:drawing>
          <wp:inline distT="0" distB="0" distL="114300" distR="114300">
            <wp:extent cx="5448300" cy="1362075"/>
            <wp:effectExtent l="0" t="0" r="0" b="9525"/>
            <wp:docPr id="13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adjustRightInd w:val="0"/>
        <w:snapToGrid w:val="0"/>
        <w:spacing w:after="0" w:line="360" w:lineRule="auto"/>
        <w:jc w:val="center"/>
        <w:rPr>
          <w:sz w:val="24"/>
          <w:szCs w:val="24"/>
          <w:lang w:val="es-ES" w:eastAsia="zh-CN"/>
        </w:rPr>
      </w:pP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 xml:space="preserve">Imagen 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instrText xml:space="preserve"> SEQ Imagen \* ARABIC </w:instrTex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59</w:t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fldChar w:fldCharType="end"/>
      </w:r>
      <w:r>
        <w:rPr>
          <w:rFonts w:eastAsiaTheme="minorHAnsi"/>
          <w:i/>
          <w:iCs/>
          <w:color w:val="44546A" w:themeColor="text2"/>
          <w:sz w:val="18"/>
          <w:szCs w:val="18"/>
          <w:lang w:val="es-ES"/>
          <w14:textFill>
            <w14:solidFill>
              <w14:schemeClr w14:val="tx2"/>
            </w14:solidFill>
          </w14:textFill>
        </w:rPr>
        <w:t>. Mensaje de generación de archivo exitoso</w:t>
      </w:r>
    </w:p>
    <w:sectPr>
      <w:headerReference r:id="rId6" w:type="default"/>
      <w:footerReference r:id="rId7" w:type="default"/>
      <w:pgSz w:w="12240" w:h="15840"/>
      <w:pgMar w:top="720" w:right="720" w:bottom="720" w:left="72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mHei">
    <w:altName w:val="SimSu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rFonts w:asciiTheme="majorHAnsi" w:hAnsiTheme="majorHAnsi" w:cstheme="majorHAnsi"/>
        <w:i/>
        <w:iCs/>
        <w:sz w:val="20"/>
        <w:szCs w:val="20"/>
        <w:lang w:val="es-ES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>Informática y Tributos – Alcaldía de Riohacha</w:t>
    </w:r>
  </w:p>
  <w:p>
    <w:pPr>
      <w:pStyle w:val="13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Módulo de Resolución IGAC - Predial - </w:t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 xml:space="preserve">PAGE    \* MERGEFORMAT</w:instrTex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separate"/>
    </w:r>
    <w:r>
      <w:rPr>
        <w:rFonts w:asciiTheme="majorHAnsi" w:hAnsiTheme="majorHAnsi" w:cstheme="majorHAnsi"/>
        <w:i/>
        <w:iCs/>
        <w:sz w:val="20"/>
        <w:szCs w:val="20"/>
      </w:rPr>
      <w:t>1</w:t>
    </w:r>
    <w:r>
      <w:rPr>
        <w:rFonts w:asciiTheme="majorHAnsi" w:hAnsiTheme="majorHAnsi" w:eastAsiaTheme="majorEastAsia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1456055</wp:posOffset>
          </wp:positionH>
          <wp:positionV relativeFrom="paragraph">
            <wp:posOffset>1454785</wp:posOffset>
          </wp:positionV>
          <wp:extent cx="3914775" cy="2133600"/>
          <wp:effectExtent l="0" t="0" r="9525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 4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0"/>
          <wp:wrapNone/>
          <wp:docPr id="38" name="Imagen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67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68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B1F008"/>
    <w:multiLevelType w:val="multilevel"/>
    <w:tmpl w:val="A4B1F00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cs="Arial"/>
        <w:sz w:val="28"/>
        <w:szCs w:val="28"/>
      </w:rPr>
    </w:lvl>
    <w:lvl w:ilvl="1" w:tentative="0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96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73477"/>
    <w:rsid w:val="00107910"/>
    <w:rsid w:val="001B00C9"/>
    <w:rsid w:val="001B0203"/>
    <w:rsid w:val="001D264E"/>
    <w:rsid w:val="001F5BAE"/>
    <w:rsid w:val="00285E2B"/>
    <w:rsid w:val="00355D76"/>
    <w:rsid w:val="0038123E"/>
    <w:rsid w:val="003A7E9A"/>
    <w:rsid w:val="00411659"/>
    <w:rsid w:val="00417C8E"/>
    <w:rsid w:val="00433E9C"/>
    <w:rsid w:val="004D43B2"/>
    <w:rsid w:val="00524FDD"/>
    <w:rsid w:val="00674269"/>
    <w:rsid w:val="006D60DD"/>
    <w:rsid w:val="007D0A83"/>
    <w:rsid w:val="0080320D"/>
    <w:rsid w:val="00803633"/>
    <w:rsid w:val="0082420D"/>
    <w:rsid w:val="00825AF6"/>
    <w:rsid w:val="008F473B"/>
    <w:rsid w:val="00946E77"/>
    <w:rsid w:val="00974BF6"/>
    <w:rsid w:val="00A51556"/>
    <w:rsid w:val="00BA46BF"/>
    <w:rsid w:val="00BA674C"/>
    <w:rsid w:val="00CA3079"/>
    <w:rsid w:val="00DA4BC9"/>
    <w:rsid w:val="00E016ED"/>
    <w:rsid w:val="00E64476"/>
    <w:rsid w:val="00F079BF"/>
    <w:rsid w:val="00F17505"/>
    <w:rsid w:val="00F36AB1"/>
    <w:rsid w:val="00F41DF3"/>
    <w:rsid w:val="00F63150"/>
    <w:rsid w:val="012D4030"/>
    <w:rsid w:val="016A21D0"/>
    <w:rsid w:val="017825AD"/>
    <w:rsid w:val="01844166"/>
    <w:rsid w:val="02470E4D"/>
    <w:rsid w:val="024F5F3D"/>
    <w:rsid w:val="02577FD5"/>
    <w:rsid w:val="02796FC6"/>
    <w:rsid w:val="02B85D88"/>
    <w:rsid w:val="02BA453B"/>
    <w:rsid w:val="02E43ECE"/>
    <w:rsid w:val="02FD4B98"/>
    <w:rsid w:val="032E1728"/>
    <w:rsid w:val="033512C5"/>
    <w:rsid w:val="03582846"/>
    <w:rsid w:val="035C70D9"/>
    <w:rsid w:val="03632316"/>
    <w:rsid w:val="036A0848"/>
    <w:rsid w:val="03B95FA2"/>
    <w:rsid w:val="03F626C5"/>
    <w:rsid w:val="0403551F"/>
    <w:rsid w:val="040C35FD"/>
    <w:rsid w:val="04245D01"/>
    <w:rsid w:val="04401E15"/>
    <w:rsid w:val="04591ED2"/>
    <w:rsid w:val="0499227F"/>
    <w:rsid w:val="04AC3EE0"/>
    <w:rsid w:val="04BC7B94"/>
    <w:rsid w:val="04C77AAB"/>
    <w:rsid w:val="04E71B67"/>
    <w:rsid w:val="050D40B4"/>
    <w:rsid w:val="052E6F93"/>
    <w:rsid w:val="05331E43"/>
    <w:rsid w:val="057964B2"/>
    <w:rsid w:val="05C53DAC"/>
    <w:rsid w:val="05DC703C"/>
    <w:rsid w:val="05E970C0"/>
    <w:rsid w:val="06B65288"/>
    <w:rsid w:val="072D6FDC"/>
    <w:rsid w:val="079C313A"/>
    <w:rsid w:val="07D37F88"/>
    <w:rsid w:val="082E56C7"/>
    <w:rsid w:val="08611D21"/>
    <w:rsid w:val="08801211"/>
    <w:rsid w:val="088B25D1"/>
    <w:rsid w:val="090F2463"/>
    <w:rsid w:val="094C1B07"/>
    <w:rsid w:val="094E248D"/>
    <w:rsid w:val="0951417A"/>
    <w:rsid w:val="09AF13FB"/>
    <w:rsid w:val="09B8173E"/>
    <w:rsid w:val="09EA124D"/>
    <w:rsid w:val="0A062C60"/>
    <w:rsid w:val="0A450E86"/>
    <w:rsid w:val="0A526955"/>
    <w:rsid w:val="0A6E59CB"/>
    <w:rsid w:val="0A77403F"/>
    <w:rsid w:val="0AA14050"/>
    <w:rsid w:val="0B320617"/>
    <w:rsid w:val="0BC51CA9"/>
    <w:rsid w:val="0BD25C46"/>
    <w:rsid w:val="0C0C2DE2"/>
    <w:rsid w:val="0C1574E9"/>
    <w:rsid w:val="0C1B266C"/>
    <w:rsid w:val="0C4230B8"/>
    <w:rsid w:val="0C554A9D"/>
    <w:rsid w:val="0C9F30C1"/>
    <w:rsid w:val="0CA62AC1"/>
    <w:rsid w:val="0CB72639"/>
    <w:rsid w:val="0CC706EB"/>
    <w:rsid w:val="0D3A780A"/>
    <w:rsid w:val="0D592C8A"/>
    <w:rsid w:val="0D672994"/>
    <w:rsid w:val="0D773423"/>
    <w:rsid w:val="0D903BBF"/>
    <w:rsid w:val="0D96735B"/>
    <w:rsid w:val="0E027344"/>
    <w:rsid w:val="0E2660AA"/>
    <w:rsid w:val="0E430C87"/>
    <w:rsid w:val="0E8B4913"/>
    <w:rsid w:val="0E9A25C6"/>
    <w:rsid w:val="0F420BC6"/>
    <w:rsid w:val="0F545DB5"/>
    <w:rsid w:val="0F856919"/>
    <w:rsid w:val="0FCA2F4F"/>
    <w:rsid w:val="0FD90483"/>
    <w:rsid w:val="0FE11106"/>
    <w:rsid w:val="100821F5"/>
    <w:rsid w:val="1020687A"/>
    <w:rsid w:val="10413B42"/>
    <w:rsid w:val="108572A0"/>
    <w:rsid w:val="10F50E95"/>
    <w:rsid w:val="10F5202D"/>
    <w:rsid w:val="114E226C"/>
    <w:rsid w:val="11A57FCF"/>
    <w:rsid w:val="11A963D5"/>
    <w:rsid w:val="122E6BD8"/>
    <w:rsid w:val="12704020"/>
    <w:rsid w:val="1281778C"/>
    <w:rsid w:val="12AE1440"/>
    <w:rsid w:val="12B13D25"/>
    <w:rsid w:val="139E5DFA"/>
    <w:rsid w:val="13B0451D"/>
    <w:rsid w:val="148276AD"/>
    <w:rsid w:val="14967EAE"/>
    <w:rsid w:val="149A1A5F"/>
    <w:rsid w:val="14B66C05"/>
    <w:rsid w:val="14E964D4"/>
    <w:rsid w:val="15470B97"/>
    <w:rsid w:val="15721AD4"/>
    <w:rsid w:val="157C5211"/>
    <w:rsid w:val="15C11906"/>
    <w:rsid w:val="15E434B7"/>
    <w:rsid w:val="16296855"/>
    <w:rsid w:val="168250AE"/>
    <w:rsid w:val="16E736AE"/>
    <w:rsid w:val="171F5456"/>
    <w:rsid w:val="1765130E"/>
    <w:rsid w:val="17862610"/>
    <w:rsid w:val="17D33DC3"/>
    <w:rsid w:val="180D3D7D"/>
    <w:rsid w:val="182B1169"/>
    <w:rsid w:val="1841346A"/>
    <w:rsid w:val="18892D74"/>
    <w:rsid w:val="1892190B"/>
    <w:rsid w:val="18AA537E"/>
    <w:rsid w:val="18F97461"/>
    <w:rsid w:val="19035A16"/>
    <w:rsid w:val="192A4F49"/>
    <w:rsid w:val="19385A0A"/>
    <w:rsid w:val="1968731A"/>
    <w:rsid w:val="19701FA0"/>
    <w:rsid w:val="19A735DD"/>
    <w:rsid w:val="19BA5D9C"/>
    <w:rsid w:val="1A215C36"/>
    <w:rsid w:val="1A274FDC"/>
    <w:rsid w:val="1A8C4793"/>
    <w:rsid w:val="1AA436B1"/>
    <w:rsid w:val="1AB96073"/>
    <w:rsid w:val="1AD55C94"/>
    <w:rsid w:val="1B627AFC"/>
    <w:rsid w:val="1B66677C"/>
    <w:rsid w:val="1B7E0B59"/>
    <w:rsid w:val="1B9B6CAB"/>
    <w:rsid w:val="1BAA305F"/>
    <w:rsid w:val="1BFB5915"/>
    <w:rsid w:val="1C066CDB"/>
    <w:rsid w:val="1C094F71"/>
    <w:rsid w:val="1C315FCB"/>
    <w:rsid w:val="1C357414"/>
    <w:rsid w:val="1C8B4599"/>
    <w:rsid w:val="1CA91B35"/>
    <w:rsid w:val="1CB046F4"/>
    <w:rsid w:val="1CB07914"/>
    <w:rsid w:val="1CCA7B38"/>
    <w:rsid w:val="1CF461F7"/>
    <w:rsid w:val="1D0F654C"/>
    <w:rsid w:val="1D234FC8"/>
    <w:rsid w:val="1D6F212E"/>
    <w:rsid w:val="1D965235"/>
    <w:rsid w:val="1E2D0ADF"/>
    <w:rsid w:val="1E3377E0"/>
    <w:rsid w:val="1E36366F"/>
    <w:rsid w:val="1E3A258E"/>
    <w:rsid w:val="1EAF6234"/>
    <w:rsid w:val="1EBD2429"/>
    <w:rsid w:val="1EF444DB"/>
    <w:rsid w:val="1F086AE8"/>
    <w:rsid w:val="1F523825"/>
    <w:rsid w:val="1FC00E73"/>
    <w:rsid w:val="1FF24BBC"/>
    <w:rsid w:val="1FFC28D9"/>
    <w:rsid w:val="20274F66"/>
    <w:rsid w:val="20464B32"/>
    <w:rsid w:val="205D05CC"/>
    <w:rsid w:val="205E4E87"/>
    <w:rsid w:val="20D87402"/>
    <w:rsid w:val="20FA4E7F"/>
    <w:rsid w:val="21691A2E"/>
    <w:rsid w:val="216D0178"/>
    <w:rsid w:val="21A623F3"/>
    <w:rsid w:val="21A75B00"/>
    <w:rsid w:val="21C96336"/>
    <w:rsid w:val="21CB1DBC"/>
    <w:rsid w:val="21DB5DAB"/>
    <w:rsid w:val="21F13FD8"/>
    <w:rsid w:val="221A6FBC"/>
    <w:rsid w:val="22676C0D"/>
    <w:rsid w:val="227F0FDA"/>
    <w:rsid w:val="22884F8A"/>
    <w:rsid w:val="22EE7F8F"/>
    <w:rsid w:val="237F3716"/>
    <w:rsid w:val="23C95295"/>
    <w:rsid w:val="23CA4861"/>
    <w:rsid w:val="23CE691E"/>
    <w:rsid w:val="2418419F"/>
    <w:rsid w:val="242C152A"/>
    <w:rsid w:val="24A06193"/>
    <w:rsid w:val="24B8340D"/>
    <w:rsid w:val="24C2062F"/>
    <w:rsid w:val="252D7F12"/>
    <w:rsid w:val="2555693B"/>
    <w:rsid w:val="255E0559"/>
    <w:rsid w:val="25876D0A"/>
    <w:rsid w:val="2590188F"/>
    <w:rsid w:val="259B6374"/>
    <w:rsid w:val="259D5BFF"/>
    <w:rsid w:val="25F31DC1"/>
    <w:rsid w:val="260F3EE6"/>
    <w:rsid w:val="26287795"/>
    <w:rsid w:val="268723D4"/>
    <w:rsid w:val="26B45BAF"/>
    <w:rsid w:val="27867621"/>
    <w:rsid w:val="27AD0C40"/>
    <w:rsid w:val="27D369B6"/>
    <w:rsid w:val="27F60A02"/>
    <w:rsid w:val="283E6E21"/>
    <w:rsid w:val="28423B48"/>
    <w:rsid w:val="287B5913"/>
    <w:rsid w:val="288F5590"/>
    <w:rsid w:val="28AC063A"/>
    <w:rsid w:val="28D66810"/>
    <w:rsid w:val="28D948E9"/>
    <w:rsid w:val="297D6299"/>
    <w:rsid w:val="2985673E"/>
    <w:rsid w:val="299D33CF"/>
    <w:rsid w:val="29AE54FC"/>
    <w:rsid w:val="29CE2B6A"/>
    <w:rsid w:val="29CF37B4"/>
    <w:rsid w:val="29D1182C"/>
    <w:rsid w:val="29D30483"/>
    <w:rsid w:val="29E65080"/>
    <w:rsid w:val="29F451E6"/>
    <w:rsid w:val="2A0B1ED7"/>
    <w:rsid w:val="2A155DC5"/>
    <w:rsid w:val="2A1A33D3"/>
    <w:rsid w:val="2A295C62"/>
    <w:rsid w:val="2A497ABB"/>
    <w:rsid w:val="2AAF53DB"/>
    <w:rsid w:val="2AB27E05"/>
    <w:rsid w:val="2B1A50E0"/>
    <w:rsid w:val="2B4A7471"/>
    <w:rsid w:val="2B5E15BA"/>
    <w:rsid w:val="2B7D455A"/>
    <w:rsid w:val="2BC53BA0"/>
    <w:rsid w:val="2BD35858"/>
    <w:rsid w:val="2BED381D"/>
    <w:rsid w:val="2C136186"/>
    <w:rsid w:val="2C153ED6"/>
    <w:rsid w:val="2C196350"/>
    <w:rsid w:val="2C440638"/>
    <w:rsid w:val="2C493DBE"/>
    <w:rsid w:val="2C5E34B8"/>
    <w:rsid w:val="2C932317"/>
    <w:rsid w:val="2CAA209E"/>
    <w:rsid w:val="2CBF65A9"/>
    <w:rsid w:val="2CDC70AD"/>
    <w:rsid w:val="2CF4433E"/>
    <w:rsid w:val="2D7021B6"/>
    <w:rsid w:val="2D7B0A61"/>
    <w:rsid w:val="2DB82305"/>
    <w:rsid w:val="2DC00208"/>
    <w:rsid w:val="2E5B06B4"/>
    <w:rsid w:val="2EA07E94"/>
    <w:rsid w:val="2EB106F2"/>
    <w:rsid w:val="2EB95E0A"/>
    <w:rsid w:val="2ECE12C5"/>
    <w:rsid w:val="2EDD5700"/>
    <w:rsid w:val="2EE305CF"/>
    <w:rsid w:val="2F005AB8"/>
    <w:rsid w:val="2F0617E1"/>
    <w:rsid w:val="2F0677F7"/>
    <w:rsid w:val="2FA158EF"/>
    <w:rsid w:val="2FA16025"/>
    <w:rsid w:val="2FA30248"/>
    <w:rsid w:val="2FB334E5"/>
    <w:rsid w:val="30165AF9"/>
    <w:rsid w:val="30460BB0"/>
    <w:rsid w:val="30481042"/>
    <w:rsid w:val="305845AE"/>
    <w:rsid w:val="306A37B5"/>
    <w:rsid w:val="30742904"/>
    <w:rsid w:val="30B02E20"/>
    <w:rsid w:val="30B15495"/>
    <w:rsid w:val="30EA01A5"/>
    <w:rsid w:val="30FC525B"/>
    <w:rsid w:val="310506FE"/>
    <w:rsid w:val="319F02C9"/>
    <w:rsid w:val="31F210CB"/>
    <w:rsid w:val="32390B0D"/>
    <w:rsid w:val="32542F76"/>
    <w:rsid w:val="3273733F"/>
    <w:rsid w:val="32912A33"/>
    <w:rsid w:val="32991E0D"/>
    <w:rsid w:val="32C25998"/>
    <w:rsid w:val="32C74BE9"/>
    <w:rsid w:val="32D41819"/>
    <w:rsid w:val="32DF27DE"/>
    <w:rsid w:val="32F60A0C"/>
    <w:rsid w:val="33A221F8"/>
    <w:rsid w:val="33B77532"/>
    <w:rsid w:val="33D34A31"/>
    <w:rsid w:val="341522C2"/>
    <w:rsid w:val="344D292F"/>
    <w:rsid w:val="34555EB7"/>
    <w:rsid w:val="349364E8"/>
    <w:rsid w:val="34A2765E"/>
    <w:rsid w:val="34C8475E"/>
    <w:rsid w:val="34E11A99"/>
    <w:rsid w:val="34F10291"/>
    <w:rsid w:val="352511BE"/>
    <w:rsid w:val="357D34C3"/>
    <w:rsid w:val="35BE4EBF"/>
    <w:rsid w:val="35C00CBC"/>
    <w:rsid w:val="361C3ADC"/>
    <w:rsid w:val="362D6415"/>
    <w:rsid w:val="36CD5DE9"/>
    <w:rsid w:val="36E246EB"/>
    <w:rsid w:val="36E309DD"/>
    <w:rsid w:val="370E01D6"/>
    <w:rsid w:val="374E1C7D"/>
    <w:rsid w:val="37CC3E92"/>
    <w:rsid w:val="37DE4BCC"/>
    <w:rsid w:val="37E436B3"/>
    <w:rsid w:val="37F019F5"/>
    <w:rsid w:val="37F524C3"/>
    <w:rsid w:val="38133BCC"/>
    <w:rsid w:val="386C34BC"/>
    <w:rsid w:val="388059BD"/>
    <w:rsid w:val="388800D1"/>
    <w:rsid w:val="38A10005"/>
    <w:rsid w:val="38DE069E"/>
    <w:rsid w:val="38F75FE1"/>
    <w:rsid w:val="390C54C3"/>
    <w:rsid w:val="392408CB"/>
    <w:rsid w:val="39BC0844"/>
    <w:rsid w:val="3A714133"/>
    <w:rsid w:val="3AA07471"/>
    <w:rsid w:val="3B127E11"/>
    <w:rsid w:val="3B9C0360"/>
    <w:rsid w:val="3BD47FC7"/>
    <w:rsid w:val="3BF55D00"/>
    <w:rsid w:val="3BFB0601"/>
    <w:rsid w:val="3C356DDA"/>
    <w:rsid w:val="3C487100"/>
    <w:rsid w:val="3C4A7D09"/>
    <w:rsid w:val="3C54357F"/>
    <w:rsid w:val="3C5A7460"/>
    <w:rsid w:val="3C9C655F"/>
    <w:rsid w:val="3CA405BD"/>
    <w:rsid w:val="3CC83C01"/>
    <w:rsid w:val="3D0F20D5"/>
    <w:rsid w:val="3D1D3D51"/>
    <w:rsid w:val="3D1E6F55"/>
    <w:rsid w:val="3D5A4A2D"/>
    <w:rsid w:val="3D8907DA"/>
    <w:rsid w:val="3DB726DB"/>
    <w:rsid w:val="3DC0200C"/>
    <w:rsid w:val="3DC30FA4"/>
    <w:rsid w:val="3DC3605C"/>
    <w:rsid w:val="3DCA2759"/>
    <w:rsid w:val="3DE7329B"/>
    <w:rsid w:val="3E6B1404"/>
    <w:rsid w:val="3E6E1724"/>
    <w:rsid w:val="3E775D30"/>
    <w:rsid w:val="3E79723A"/>
    <w:rsid w:val="3EB13C98"/>
    <w:rsid w:val="3EB33CDD"/>
    <w:rsid w:val="3EB91F16"/>
    <w:rsid w:val="3F207F0C"/>
    <w:rsid w:val="3F2B3EED"/>
    <w:rsid w:val="3FB7784F"/>
    <w:rsid w:val="3FC60FFE"/>
    <w:rsid w:val="403B2E48"/>
    <w:rsid w:val="40410F8D"/>
    <w:rsid w:val="404867C0"/>
    <w:rsid w:val="405009DA"/>
    <w:rsid w:val="40705348"/>
    <w:rsid w:val="40865EA5"/>
    <w:rsid w:val="409B33A6"/>
    <w:rsid w:val="40B11B69"/>
    <w:rsid w:val="40E64E0E"/>
    <w:rsid w:val="40FB3509"/>
    <w:rsid w:val="41633F5F"/>
    <w:rsid w:val="418554C1"/>
    <w:rsid w:val="41A62436"/>
    <w:rsid w:val="41DF4BFD"/>
    <w:rsid w:val="422B684A"/>
    <w:rsid w:val="42763217"/>
    <w:rsid w:val="42D62101"/>
    <w:rsid w:val="42E25CA9"/>
    <w:rsid w:val="42EE01CA"/>
    <w:rsid w:val="42F3168E"/>
    <w:rsid w:val="43140A37"/>
    <w:rsid w:val="434479BF"/>
    <w:rsid w:val="43A3581C"/>
    <w:rsid w:val="43B307EC"/>
    <w:rsid w:val="43C329DB"/>
    <w:rsid w:val="43C5483A"/>
    <w:rsid w:val="440A66C6"/>
    <w:rsid w:val="4439060A"/>
    <w:rsid w:val="444E05E0"/>
    <w:rsid w:val="447A60AE"/>
    <w:rsid w:val="448418CA"/>
    <w:rsid w:val="44A174BD"/>
    <w:rsid w:val="44AA518D"/>
    <w:rsid w:val="44B837AF"/>
    <w:rsid w:val="44C670D5"/>
    <w:rsid w:val="44CB5961"/>
    <w:rsid w:val="44D75BCC"/>
    <w:rsid w:val="44ED4B9C"/>
    <w:rsid w:val="44F413AC"/>
    <w:rsid w:val="4503675A"/>
    <w:rsid w:val="45120274"/>
    <w:rsid w:val="45247191"/>
    <w:rsid w:val="455441C1"/>
    <w:rsid w:val="45F07408"/>
    <w:rsid w:val="45F07A2B"/>
    <w:rsid w:val="46000590"/>
    <w:rsid w:val="460C7A89"/>
    <w:rsid w:val="46AA03D4"/>
    <w:rsid w:val="46BA4089"/>
    <w:rsid w:val="47887390"/>
    <w:rsid w:val="478A11F6"/>
    <w:rsid w:val="478C7C65"/>
    <w:rsid w:val="47A2218F"/>
    <w:rsid w:val="47C878C2"/>
    <w:rsid w:val="47F75C78"/>
    <w:rsid w:val="48463A2D"/>
    <w:rsid w:val="486C2113"/>
    <w:rsid w:val="48CB69AB"/>
    <w:rsid w:val="48E85B34"/>
    <w:rsid w:val="48F729AE"/>
    <w:rsid w:val="492B4A9B"/>
    <w:rsid w:val="49A03FE7"/>
    <w:rsid w:val="49B118BB"/>
    <w:rsid w:val="49EF324B"/>
    <w:rsid w:val="4A1D356C"/>
    <w:rsid w:val="4A441D72"/>
    <w:rsid w:val="4A557B15"/>
    <w:rsid w:val="4A654B5B"/>
    <w:rsid w:val="4A7A7434"/>
    <w:rsid w:val="4A7C5E24"/>
    <w:rsid w:val="4ADE1DFB"/>
    <w:rsid w:val="4ADF243B"/>
    <w:rsid w:val="4B47052E"/>
    <w:rsid w:val="4BDA47B2"/>
    <w:rsid w:val="4BF71ECD"/>
    <w:rsid w:val="4BF72453"/>
    <w:rsid w:val="4BF83AE7"/>
    <w:rsid w:val="4C491B23"/>
    <w:rsid w:val="4C5B635E"/>
    <w:rsid w:val="4C6C4709"/>
    <w:rsid w:val="4CD3136E"/>
    <w:rsid w:val="4D500E4A"/>
    <w:rsid w:val="4D6311C5"/>
    <w:rsid w:val="4D7F1953"/>
    <w:rsid w:val="4D8C4BF9"/>
    <w:rsid w:val="4E3A76CD"/>
    <w:rsid w:val="4E4D6BDA"/>
    <w:rsid w:val="4ED24582"/>
    <w:rsid w:val="4EDC4812"/>
    <w:rsid w:val="4EDC62FF"/>
    <w:rsid w:val="4F056A2D"/>
    <w:rsid w:val="4F705792"/>
    <w:rsid w:val="4F97623F"/>
    <w:rsid w:val="4FC862DA"/>
    <w:rsid w:val="4FC90540"/>
    <w:rsid w:val="4FD864F9"/>
    <w:rsid w:val="4FD87B46"/>
    <w:rsid w:val="50193F83"/>
    <w:rsid w:val="505E66A4"/>
    <w:rsid w:val="50784B44"/>
    <w:rsid w:val="514549E4"/>
    <w:rsid w:val="518B4288"/>
    <w:rsid w:val="51A57CE4"/>
    <w:rsid w:val="51BD6EAC"/>
    <w:rsid w:val="5215172F"/>
    <w:rsid w:val="52210705"/>
    <w:rsid w:val="526E723B"/>
    <w:rsid w:val="5282664D"/>
    <w:rsid w:val="52D70B14"/>
    <w:rsid w:val="53074D14"/>
    <w:rsid w:val="534810DE"/>
    <w:rsid w:val="53AC0783"/>
    <w:rsid w:val="53C73D72"/>
    <w:rsid w:val="53CB3176"/>
    <w:rsid w:val="53D52FF0"/>
    <w:rsid w:val="54110F08"/>
    <w:rsid w:val="545510A5"/>
    <w:rsid w:val="548050E6"/>
    <w:rsid w:val="549D6DDA"/>
    <w:rsid w:val="54C53B1C"/>
    <w:rsid w:val="54C900B4"/>
    <w:rsid w:val="54D2778F"/>
    <w:rsid w:val="552B3E4D"/>
    <w:rsid w:val="5576536C"/>
    <w:rsid w:val="558D4A23"/>
    <w:rsid w:val="55906543"/>
    <w:rsid w:val="55AA28BB"/>
    <w:rsid w:val="55DA149E"/>
    <w:rsid w:val="55FB07EE"/>
    <w:rsid w:val="55FE5FDD"/>
    <w:rsid w:val="55FE63E3"/>
    <w:rsid w:val="56741EE9"/>
    <w:rsid w:val="56EB7EF5"/>
    <w:rsid w:val="56F51024"/>
    <w:rsid w:val="570D7698"/>
    <w:rsid w:val="575130EC"/>
    <w:rsid w:val="57706C4D"/>
    <w:rsid w:val="578225A4"/>
    <w:rsid w:val="579D6A0E"/>
    <w:rsid w:val="57C82DFA"/>
    <w:rsid w:val="57D51A46"/>
    <w:rsid w:val="58085461"/>
    <w:rsid w:val="5861218C"/>
    <w:rsid w:val="58B608F5"/>
    <w:rsid w:val="58BB6089"/>
    <w:rsid w:val="58C16DA0"/>
    <w:rsid w:val="58DC7820"/>
    <w:rsid w:val="59802EEF"/>
    <w:rsid w:val="59C94080"/>
    <w:rsid w:val="59DE6546"/>
    <w:rsid w:val="59EC7035"/>
    <w:rsid w:val="5A080735"/>
    <w:rsid w:val="5A1D3CEC"/>
    <w:rsid w:val="5A6D0161"/>
    <w:rsid w:val="5A9A769B"/>
    <w:rsid w:val="5B127F0B"/>
    <w:rsid w:val="5B3E1CE1"/>
    <w:rsid w:val="5B922AE3"/>
    <w:rsid w:val="5BA904A6"/>
    <w:rsid w:val="5BCE1EB6"/>
    <w:rsid w:val="5C0E0E0E"/>
    <w:rsid w:val="5C2A0741"/>
    <w:rsid w:val="5C2F0A0D"/>
    <w:rsid w:val="5C337B4A"/>
    <w:rsid w:val="5C4B3E23"/>
    <w:rsid w:val="5C5533D2"/>
    <w:rsid w:val="5C845463"/>
    <w:rsid w:val="5CE779B4"/>
    <w:rsid w:val="5D470B64"/>
    <w:rsid w:val="5D7221FD"/>
    <w:rsid w:val="5D764EFB"/>
    <w:rsid w:val="5D7F0207"/>
    <w:rsid w:val="5D8B009D"/>
    <w:rsid w:val="5D9E7684"/>
    <w:rsid w:val="5DA23DF5"/>
    <w:rsid w:val="5DDD7A5E"/>
    <w:rsid w:val="5E23644A"/>
    <w:rsid w:val="5E487E75"/>
    <w:rsid w:val="5EB651AD"/>
    <w:rsid w:val="5EB7432C"/>
    <w:rsid w:val="5EB81591"/>
    <w:rsid w:val="5EC51E6D"/>
    <w:rsid w:val="5F2903D7"/>
    <w:rsid w:val="5F3F1A9C"/>
    <w:rsid w:val="5F4C11BB"/>
    <w:rsid w:val="5F5D507D"/>
    <w:rsid w:val="5FC60135"/>
    <w:rsid w:val="605B07BE"/>
    <w:rsid w:val="60643125"/>
    <w:rsid w:val="60BE345F"/>
    <w:rsid w:val="60D83096"/>
    <w:rsid w:val="611F4DA1"/>
    <w:rsid w:val="616D0AB1"/>
    <w:rsid w:val="61802D80"/>
    <w:rsid w:val="61A619D3"/>
    <w:rsid w:val="61B40A90"/>
    <w:rsid w:val="61C64F8E"/>
    <w:rsid w:val="6204550E"/>
    <w:rsid w:val="620B59E5"/>
    <w:rsid w:val="62CA1E2C"/>
    <w:rsid w:val="62F82403"/>
    <w:rsid w:val="6305230E"/>
    <w:rsid w:val="636E50EC"/>
    <w:rsid w:val="637A1007"/>
    <w:rsid w:val="63AD6B80"/>
    <w:rsid w:val="63D7709D"/>
    <w:rsid w:val="63F0048B"/>
    <w:rsid w:val="641B5556"/>
    <w:rsid w:val="64337DB7"/>
    <w:rsid w:val="64706C54"/>
    <w:rsid w:val="64E81B7D"/>
    <w:rsid w:val="64FA57E1"/>
    <w:rsid w:val="65056F31"/>
    <w:rsid w:val="654772CD"/>
    <w:rsid w:val="654D0CBD"/>
    <w:rsid w:val="65A945A5"/>
    <w:rsid w:val="65C56A9F"/>
    <w:rsid w:val="65F31F41"/>
    <w:rsid w:val="65F56C31"/>
    <w:rsid w:val="66103F76"/>
    <w:rsid w:val="667F2C06"/>
    <w:rsid w:val="66862E4D"/>
    <w:rsid w:val="669045F3"/>
    <w:rsid w:val="66A33BE6"/>
    <w:rsid w:val="66BD691F"/>
    <w:rsid w:val="66E1063E"/>
    <w:rsid w:val="66E67C81"/>
    <w:rsid w:val="66FC4A1F"/>
    <w:rsid w:val="67213243"/>
    <w:rsid w:val="673D7A69"/>
    <w:rsid w:val="67457FF8"/>
    <w:rsid w:val="67495B93"/>
    <w:rsid w:val="6771466F"/>
    <w:rsid w:val="677B27D4"/>
    <w:rsid w:val="686552AF"/>
    <w:rsid w:val="687D15C2"/>
    <w:rsid w:val="68904ACF"/>
    <w:rsid w:val="6898022E"/>
    <w:rsid w:val="689A2E7B"/>
    <w:rsid w:val="690F101C"/>
    <w:rsid w:val="691916A8"/>
    <w:rsid w:val="69256B7F"/>
    <w:rsid w:val="693C4DF5"/>
    <w:rsid w:val="69555FA7"/>
    <w:rsid w:val="69655E74"/>
    <w:rsid w:val="69B2285B"/>
    <w:rsid w:val="6A1F24E5"/>
    <w:rsid w:val="6A2840D5"/>
    <w:rsid w:val="6A3A632C"/>
    <w:rsid w:val="6A656427"/>
    <w:rsid w:val="6A6E3435"/>
    <w:rsid w:val="6ABA6FD5"/>
    <w:rsid w:val="6B0661CF"/>
    <w:rsid w:val="6B345D74"/>
    <w:rsid w:val="6B7F0B05"/>
    <w:rsid w:val="6BB561C0"/>
    <w:rsid w:val="6BD26C7B"/>
    <w:rsid w:val="6BF65E75"/>
    <w:rsid w:val="6C415488"/>
    <w:rsid w:val="6C4300C3"/>
    <w:rsid w:val="6C4D6E57"/>
    <w:rsid w:val="6C5B36DE"/>
    <w:rsid w:val="6D080C34"/>
    <w:rsid w:val="6D1945D2"/>
    <w:rsid w:val="6D41679A"/>
    <w:rsid w:val="6D9D6937"/>
    <w:rsid w:val="6DC711A1"/>
    <w:rsid w:val="6E244E2E"/>
    <w:rsid w:val="6E2E3E3A"/>
    <w:rsid w:val="6E901D74"/>
    <w:rsid w:val="6EDA3C75"/>
    <w:rsid w:val="6EE3131B"/>
    <w:rsid w:val="6F5D3920"/>
    <w:rsid w:val="6F912F64"/>
    <w:rsid w:val="6F9F1D5C"/>
    <w:rsid w:val="6FAA335F"/>
    <w:rsid w:val="70121B22"/>
    <w:rsid w:val="70290899"/>
    <w:rsid w:val="705153BC"/>
    <w:rsid w:val="705E50EF"/>
    <w:rsid w:val="70607AA6"/>
    <w:rsid w:val="70732EDB"/>
    <w:rsid w:val="7094505C"/>
    <w:rsid w:val="70B5614B"/>
    <w:rsid w:val="71504DED"/>
    <w:rsid w:val="71C01365"/>
    <w:rsid w:val="71CC01C7"/>
    <w:rsid w:val="724B7D6A"/>
    <w:rsid w:val="724C4AE9"/>
    <w:rsid w:val="727B08F1"/>
    <w:rsid w:val="729A73EE"/>
    <w:rsid w:val="72A27148"/>
    <w:rsid w:val="72CC790F"/>
    <w:rsid w:val="72D0685F"/>
    <w:rsid w:val="7313534F"/>
    <w:rsid w:val="731B4ED7"/>
    <w:rsid w:val="732765C8"/>
    <w:rsid w:val="73516B1F"/>
    <w:rsid w:val="73927856"/>
    <w:rsid w:val="73B07729"/>
    <w:rsid w:val="73BD3C48"/>
    <w:rsid w:val="73C46232"/>
    <w:rsid w:val="73E8153B"/>
    <w:rsid w:val="74540905"/>
    <w:rsid w:val="74733680"/>
    <w:rsid w:val="747D3DCC"/>
    <w:rsid w:val="74BD3E7C"/>
    <w:rsid w:val="750F784F"/>
    <w:rsid w:val="7579062C"/>
    <w:rsid w:val="75802263"/>
    <w:rsid w:val="75A654AA"/>
    <w:rsid w:val="75C33B90"/>
    <w:rsid w:val="75FA5556"/>
    <w:rsid w:val="76076632"/>
    <w:rsid w:val="761935C2"/>
    <w:rsid w:val="76443326"/>
    <w:rsid w:val="767E7904"/>
    <w:rsid w:val="76CB305A"/>
    <w:rsid w:val="76CC564E"/>
    <w:rsid w:val="76CE34D2"/>
    <w:rsid w:val="76F531DF"/>
    <w:rsid w:val="771C4A6C"/>
    <w:rsid w:val="77343560"/>
    <w:rsid w:val="778E1869"/>
    <w:rsid w:val="77EA0B77"/>
    <w:rsid w:val="78490C60"/>
    <w:rsid w:val="784935B8"/>
    <w:rsid w:val="786A2597"/>
    <w:rsid w:val="79480DDE"/>
    <w:rsid w:val="795B1C2F"/>
    <w:rsid w:val="797651A0"/>
    <w:rsid w:val="79A6656D"/>
    <w:rsid w:val="79C557E3"/>
    <w:rsid w:val="79E81A1A"/>
    <w:rsid w:val="7A06608D"/>
    <w:rsid w:val="7A7A01B1"/>
    <w:rsid w:val="7A7B570C"/>
    <w:rsid w:val="7AAC263F"/>
    <w:rsid w:val="7AFA1E1A"/>
    <w:rsid w:val="7B3163E7"/>
    <w:rsid w:val="7BBC462E"/>
    <w:rsid w:val="7C762DBE"/>
    <w:rsid w:val="7C87464E"/>
    <w:rsid w:val="7CCC1C0C"/>
    <w:rsid w:val="7CE003A9"/>
    <w:rsid w:val="7D4A664C"/>
    <w:rsid w:val="7D953F0A"/>
    <w:rsid w:val="7DA4180A"/>
    <w:rsid w:val="7DAD4D20"/>
    <w:rsid w:val="7DBF1FC6"/>
    <w:rsid w:val="7DD61A10"/>
    <w:rsid w:val="7DE657A6"/>
    <w:rsid w:val="7E1847F1"/>
    <w:rsid w:val="7E2375B4"/>
    <w:rsid w:val="7EC81E78"/>
    <w:rsid w:val="7F1E00DD"/>
    <w:rsid w:val="7F264262"/>
    <w:rsid w:val="7F371B34"/>
    <w:rsid w:val="7F8A4674"/>
    <w:rsid w:val="7FF9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 w:line="360" w:lineRule="auto"/>
      <w:jc w:val="both"/>
      <w:outlineLvl w:val="1"/>
    </w:pPr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40" w:after="0" w:line="360" w:lineRule="auto"/>
      <w:jc w:val="both"/>
      <w:outlineLvl w:val="2"/>
    </w:pPr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9">
    <w:name w:val="caption"/>
    <w:basedOn w:val="1"/>
    <w:next w:val="1"/>
    <w:semiHidden/>
    <w:unhideWhenUsed/>
    <w:qFormat/>
    <w:uiPriority w:val="35"/>
    <w:rPr>
      <w:rFonts w:ascii="Arial" w:hAnsi="Arial" w:eastAsia="SimHei" w:cs="Arial"/>
      <w:sz w:val="20"/>
    </w:rPr>
  </w:style>
  <w:style w:type="paragraph" w:styleId="10">
    <w:name w:val="toc 1"/>
    <w:basedOn w:val="1"/>
    <w:next w:val="1"/>
    <w:semiHidden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header"/>
    <w:basedOn w:val="1"/>
    <w:link w:val="16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3">
    <w:name w:val="footer"/>
    <w:basedOn w:val="1"/>
    <w:link w:val="17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4">
    <w:name w:val="Title"/>
    <w:basedOn w:val="1"/>
    <w:next w:val="1"/>
    <w:link w:val="20"/>
    <w:qFormat/>
    <w:uiPriority w:val="10"/>
    <w:pPr>
      <w:spacing w:after="0" w:line="240" w:lineRule="auto"/>
      <w:contextualSpacing/>
      <w:jc w:val="both"/>
    </w:pPr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table" w:styleId="15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Encabezado Car"/>
    <w:basedOn w:val="6"/>
    <w:link w:val="12"/>
    <w:qFormat/>
    <w:uiPriority w:val="99"/>
  </w:style>
  <w:style w:type="character" w:customStyle="1" w:styleId="17">
    <w:name w:val="Pie de página Car"/>
    <w:basedOn w:val="6"/>
    <w:link w:val="13"/>
    <w:qFormat/>
    <w:uiPriority w:val="99"/>
  </w:style>
  <w:style w:type="character" w:customStyle="1" w:styleId="18">
    <w:name w:val="Título 1 Car"/>
    <w:basedOn w:val="6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19">
    <w:name w:val="Título 2 Car"/>
    <w:basedOn w:val="6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0">
    <w:name w:val="Título Car"/>
    <w:basedOn w:val="6"/>
    <w:link w:val="14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Título 3 Car"/>
    <w:basedOn w:val="6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23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5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5.png"/><Relationship Id="rId89" Type="http://schemas.openxmlformats.org/officeDocument/2006/relationships/customXml" Target="../customXml/item2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theme" Target="theme/theme1.xml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footer" Target="footer1.xml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header" Target="header2.xml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header" Target="header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endnotes" Target="endnotes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4" Type="http://schemas.openxmlformats.org/officeDocument/2006/relationships/image" Target="media/image2.svg"/><Relationship Id="rId3" Type="http://schemas.openxmlformats.org/officeDocument/2006/relationships/image" Target="media/image4.png"/><Relationship Id="rId2" Type="http://schemas.openxmlformats.org/officeDocument/2006/relationships/image" Target="media/image1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2758</Words>
  <Characters>15175</Characters>
  <Lines>126</Lines>
  <Paragraphs>35</Paragraphs>
  <TotalTime>9</TotalTime>
  <ScaleCrop>false</ScaleCrop>
  <LinksUpToDate>false</LinksUpToDate>
  <CharactersWithSpaces>17898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2021-06-12T23:59:00Z</dcterms:created>
  <dc:creator>Hugo Alberto Martínez Ortega</dc:creator>
  <cp:lastModifiedBy>lvetancourt</cp:lastModifiedBy>
  <cp:lastPrinted>2021-07-15T19:48:00Z</cp:lastPrinted>
  <dcterms:modified xsi:type="dcterms:W3CDTF">2023-03-13T18:34:08Z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291E7C22A86D4F028EA3FA00ACE0CD38</vt:lpwstr>
  </property>
</Properties>
</file>