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B39F47" wp14:paraId="3A9903CC" wp14:textId="7BDB21BD">
      <w:pPr>
        <w:pStyle w:val="Normal"/>
      </w:pPr>
      <w:r w:rsidR="4A327724">
        <w:rPr/>
        <w:t xml:space="preserve">91.- Se desarrolló la estructura base y el sistema de navegación modular de la plataforma web utilizando </w:t>
      </w:r>
      <w:r w:rsidR="4A327724">
        <w:rPr/>
        <w:t>Streamlit</w:t>
      </w:r>
      <w:r w:rsidR="4A327724">
        <w:rPr/>
        <w:t xml:space="preserve"> y Python (</w:t>
      </w:r>
      <w:r w:rsidR="4A327724">
        <w:rPr/>
        <w:t>st.set_page_config</w:t>
      </w:r>
      <w:r w:rsidR="4A327724">
        <w:rPr/>
        <w:t xml:space="preserve"> y </w:t>
      </w:r>
      <w:r w:rsidR="4A327724">
        <w:rPr/>
        <w:t>st.session_state</w:t>
      </w:r>
      <w:r w:rsidR="4A327724">
        <w:rPr/>
        <w:t>), permitiendo alternar fluidamente entre la pantalla de inicio informativa y el módulo operativo de análisis.</w:t>
      </w:r>
    </w:p>
    <w:p xmlns:wp14="http://schemas.microsoft.com/office/word/2010/wordml" w:rsidP="38B39F47" wp14:paraId="40183795" wp14:textId="601234F7">
      <w:pPr>
        <w:pStyle w:val="Normal"/>
      </w:pPr>
      <w:r w:rsidR="4A327724">
        <w:rPr/>
        <w:t xml:space="preserve">2.- Se diseñó la vista principal de presentación e información general, </w:t>
      </w:r>
      <w:r w:rsidR="4A327724">
        <w:rPr/>
        <w:t>integrando  el</w:t>
      </w:r>
      <w:r w:rsidR="4A327724">
        <w:rPr/>
        <w:t xml:space="preserve"> planteamiento y objetivos del proyecto, la estructura modular del sistema y un aviso académico/legal sobre el carácter experimental de la herramienta de apoyo al diagnóstico.</w:t>
      </w:r>
    </w:p>
    <w:p xmlns:wp14="http://schemas.microsoft.com/office/word/2010/wordml" w:rsidP="38B39F47" wp14:paraId="5C1A07E2" wp14:textId="6606CBB1">
      <w:pPr>
        <w:pStyle w:val="Normal"/>
      </w:pPr>
      <w:r w:rsidR="4A327724">
        <w:rPr/>
        <w:t>3.- Se implementó el módulo interactivo de análisis de radiografías con una interfaz de dos columnas (</w:t>
      </w:r>
      <w:r w:rsidR="4A327724">
        <w:rPr/>
        <w:t>st.columns</w:t>
      </w:r>
      <w:r w:rsidR="4A327724">
        <w:rPr/>
        <w:t>), incorporando un cargador de archivos (</w:t>
      </w:r>
      <w:r w:rsidR="4A327724">
        <w:rPr/>
        <w:t>st.file_uploader</w:t>
      </w:r>
      <w:r w:rsidR="4A327724">
        <w:rPr/>
        <w:t>) para imágenes PNG, JPG y JPEG, previsualización de la radiografía cargada, selectores de etapa de análisis y un mecanismo de simulación de predicción mediante red neuronal convolucional (CNN) con despliegue dinámico de resultados y barra de confianza estimada.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DE77E3"/>
    <w:rsid w:val="16A830DE"/>
    <w:rsid w:val="38B39F47"/>
    <w:rsid w:val="38DE77E3"/>
    <w:rsid w:val="4A32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7BFA"/>
  <w15:chartTrackingRefBased/>
  <w15:docId w15:val="{EB176178-D278-49AA-A52D-F3B113BB6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2026-10-23T04:17:42.4011485Z</dcterms:created>
  <dcterms:modified xsi:type="dcterms:W3CDTF">2026-10-23T04:19:09.8931712Z</dcterms:modified>
  <dc:creator>JUAN PABLO VAZQUEZ VILLA</dc:creator>
  <lastModifiedBy>JUAN PABLO VAZQUEZ VILLA</lastModifiedBy>
</coreProperties>
</file>