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ACFB5" w14:textId="77777777" w:rsidR="00395860" w:rsidRDefault="00395860" w:rsidP="00395860">
      <w:pPr>
        <w:pStyle w:val="Textoindependiente"/>
        <w:spacing w:line="446" w:lineRule="auto"/>
        <w:ind w:right="90" w:hanging="20"/>
        <w:jc w:val="center"/>
        <w:rPr>
          <w:rFonts w:ascii="Times New Roman"/>
          <w:spacing w:val="1"/>
        </w:rPr>
      </w:pPr>
      <w:r>
        <w:rPr>
          <w:rFonts w:ascii="Times New Roman"/>
        </w:rPr>
        <w:t>REPUBLICA DOMINICANA</w:t>
      </w:r>
    </w:p>
    <w:p w14:paraId="5F7EF61E" w14:textId="77777777" w:rsidR="00395860" w:rsidRDefault="00395860" w:rsidP="00395860">
      <w:pPr>
        <w:pStyle w:val="Textoindependiente"/>
        <w:spacing w:line="446" w:lineRule="auto"/>
        <w:ind w:hanging="20"/>
        <w:jc w:val="center"/>
        <w:rPr>
          <w:rFonts w:ascii="Times New Roman"/>
        </w:rPr>
      </w:pPr>
      <w:r>
        <w:rPr>
          <w:rFonts w:ascii="Times New Roman"/>
        </w:rPr>
        <w:t>INSTITUTO TECNOLOGICO DE LAS AMERICAS</w:t>
      </w:r>
    </w:p>
    <w:p w14:paraId="24B4D2EA" w14:textId="77777777" w:rsidR="00395860" w:rsidRDefault="00395860" w:rsidP="00395860">
      <w:pPr>
        <w:pStyle w:val="Textoindependiente"/>
        <w:ind w:hanging="20"/>
        <w:jc w:val="center"/>
        <w:rPr>
          <w:rFonts w:ascii="Times New Roman"/>
          <w:sz w:val="20"/>
        </w:rPr>
      </w:pPr>
      <w:r>
        <w:rPr>
          <w:noProof/>
          <w:lang w:val="en-US"/>
        </w:rPr>
        <w:drawing>
          <wp:inline distT="0" distB="0" distL="0" distR="0" wp14:anchorId="424B4D1C" wp14:editId="5DDA0A7B">
            <wp:extent cx="1038225" cy="1038225"/>
            <wp:effectExtent l="0" t="0" r="9525" b="9525"/>
            <wp:docPr id="1" name="Imagen 1" descr="Instituto Tecnológico de Las Américas | Santo Dom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stituto Tecnológico de Las Américas | Santo Domin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14:paraId="480C1D2B" w14:textId="77777777" w:rsidR="00395860" w:rsidRDefault="00395860" w:rsidP="00395860">
      <w:pPr>
        <w:pStyle w:val="Textoindependiente"/>
        <w:spacing w:before="2"/>
        <w:ind w:hanging="20"/>
        <w:jc w:val="center"/>
        <w:rPr>
          <w:rFonts w:ascii="Times New Roman"/>
          <w:sz w:val="21"/>
        </w:rPr>
      </w:pPr>
    </w:p>
    <w:p w14:paraId="13C7E360" w14:textId="77777777" w:rsidR="00395860" w:rsidRDefault="00395860" w:rsidP="00395860">
      <w:pPr>
        <w:pStyle w:val="Textoindependiente"/>
        <w:spacing w:line="446" w:lineRule="auto"/>
        <w:ind w:hanging="20"/>
        <w:jc w:val="center"/>
        <w:rPr>
          <w:rFonts w:ascii="Times New Roman"/>
          <w:sz w:val="20"/>
          <w:szCs w:val="20"/>
        </w:rPr>
      </w:pPr>
    </w:p>
    <w:p w14:paraId="766A8ACD" w14:textId="77777777" w:rsidR="00395860" w:rsidRDefault="00395860" w:rsidP="00395860">
      <w:pPr>
        <w:pStyle w:val="Textoindependiente"/>
        <w:spacing w:line="446" w:lineRule="auto"/>
        <w:ind w:hanging="20"/>
        <w:jc w:val="center"/>
        <w:rPr>
          <w:rFonts w:ascii="Times New Roman"/>
          <w:b/>
          <w:bCs/>
          <w:sz w:val="28"/>
          <w:szCs w:val="28"/>
        </w:rPr>
      </w:pPr>
      <w:r w:rsidRPr="004F3359">
        <w:rPr>
          <w:rFonts w:ascii="Times New Roman"/>
          <w:b/>
          <w:bCs/>
          <w:sz w:val="28"/>
          <w:szCs w:val="28"/>
        </w:rPr>
        <w:t>INTRODUCCION A LA ANALITICA DE DATOS</w:t>
      </w:r>
    </w:p>
    <w:p w14:paraId="705BCBC3" w14:textId="77777777" w:rsidR="00395860" w:rsidRDefault="00395860" w:rsidP="00395860">
      <w:pPr>
        <w:pStyle w:val="Textoindependiente"/>
        <w:spacing w:line="446" w:lineRule="auto"/>
        <w:ind w:left="720" w:hanging="720"/>
        <w:jc w:val="center"/>
        <w:rPr>
          <w:rFonts w:ascii="Times New Roman"/>
        </w:rPr>
      </w:pPr>
    </w:p>
    <w:p w14:paraId="0CA4EA42" w14:textId="77777777" w:rsidR="00395860" w:rsidRDefault="00395860" w:rsidP="00395860">
      <w:pPr>
        <w:pStyle w:val="Textoindependiente"/>
        <w:spacing w:line="446" w:lineRule="auto"/>
        <w:ind w:left="720" w:hanging="720"/>
        <w:jc w:val="center"/>
        <w:rPr>
          <w:rFonts w:ascii="Times New Roman"/>
        </w:rPr>
      </w:pPr>
    </w:p>
    <w:p w14:paraId="2DBBA78A" w14:textId="77777777" w:rsidR="00395860" w:rsidRDefault="00395860" w:rsidP="00395860">
      <w:pPr>
        <w:pStyle w:val="Textoindependiente"/>
        <w:spacing w:line="446" w:lineRule="auto"/>
        <w:ind w:left="720" w:hanging="720"/>
        <w:jc w:val="center"/>
        <w:rPr>
          <w:rFonts w:ascii="Times New Roman"/>
        </w:rPr>
      </w:pPr>
      <w:r>
        <w:rPr>
          <w:rFonts w:ascii="Times New Roman"/>
        </w:rPr>
        <w:t xml:space="preserve">SECCION: </w:t>
      </w:r>
    </w:p>
    <w:p w14:paraId="13173081" w14:textId="77777777" w:rsidR="00395860" w:rsidRDefault="00395860" w:rsidP="00395860">
      <w:pPr>
        <w:pStyle w:val="Textoindependiente"/>
        <w:spacing w:line="446" w:lineRule="auto"/>
        <w:ind w:hanging="20"/>
        <w:jc w:val="center"/>
        <w:rPr>
          <w:rFonts w:ascii="Times New Roman"/>
          <w:b/>
          <w:bCs/>
        </w:rPr>
      </w:pPr>
      <w:r w:rsidRPr="004F3359">
        <w:rPr>
          <w:rFonts w:ascii="Times New Roman"/>
          <w:b/>
          <w:bCs/>
        </w:rPr>
        <w:t>2025-C-1-2722-3087-TCD-003</w:t>
      </w:r>
    </w:p>
    <w:p w14:paraId="7BAC7065" w14:textId="77777777" w:rsidR="00395860" w:rsidRDefault="00395860" w:rsidP="00395860">
      <w:pPr>
        <w:pStyle w:val="Textoindependiente"/>
        <w:spacing w:line="446" w:lineRule="auto"/>
        <w:ind w:hanging="20"/>
        <w:jc w:val="center"/>
        <w:rPr>
          <w:rFonts w:ascii="Times New Roman"/>
        </w:rPr>
      </w:pPr>
    </w:p>
    <w:p w14:paraId="4810FC2E" w14:textId="77777777" w:rsidR="00087C5B" w:rsidRDefault="00087C5B" w:rsidP="00395860">
      <w:pPr>
        <w:pStyle w:val="Textoindependiente"/>
        <w:spacing w:line="446" w:lineRule="auto"/>
        <w:ind w:hanging="20"/>
        <w:jc w:val="center"/>
        <w:rPr>
          <w:rFonts w:ascii="Times New Roman"/>
        </w:rPr>
      </w:pPr>
    </w:p>
    <w:p w14:paraId="2160C0FD" w14:textId="77777777" w:rsidR="00395860" w:rsidRDefault="00395860" w:rsidP="00395860">
      <w:pPr>
        <w:pStyle w:val="Textoindependiente"/>
        <w:spacing w:line="446" w:lineRule="auto"/>
        <w:ind w:hanging="20"/>
        <w:jc w:val="center"/>
        <w:rPr>
          <w:rFonts w:ascii="Times New Roman"/>
        </w:rPr>
      </w:pPr>
    </w:p>
    <w:p w14:paraId="64AB57CE" w14:textId="42D7C5B9" w:rsidR="00395860" w:rsidRDefault="00087C5B" w:rsidP="00395860">
      <w:pPr>
        <w:pStyle w:val="Textoindependiente"/>
        <w:spacing w:line="446" w:lineRule="auto"/>
        <w:ind w:hanging="20"/>
        <w:jc w:val="center"/>
        <w:rPr>
          <w:rFonts w:ascii="Times New Roman"/>
          <w:b/>
          <w:bCs/>
          <w:lang w:val="es-DO"/>
        </w:rPr>
      </w:pPr>
      <w:r w:rsidRPr="00087C5B">
        <w:rPr>
          <w:rFonts w:ascii="Times New Roman"/>
          <w:lang w:val="es-DO"/>
        </w:rPr>
        <w:t>PROYECTO FINAL INTRODUCCION A LA ANALITICA DE LOS DATOS</w:t>
      </w:r>
      <w:r>
        <w:rPr>
          <w:rFonts w:ascii="Times New Roman"/>
          <w:b/>
          <w:bCs/>
          <w:lang w:val="es-DO"/>
        </w:rPr>
        <w:t>:</w:t>
      </w:r>
    </w:p>
    <w:p w14:paraId="420B4B70" w14:textId="77777777" w:rsidR="00087C5B" w:rsidRDefault="00087C5B" w:rsidP="00395860">
      <w:pPr>
        <w:pStyle w:val="Textoindependiente"/>
        <w:spacing w:line="446" w:lineRule="auto"/>
        <w:ind w:hanging="20"/>
        <w:jc w:val="center"/>
        <w:rPr>
          <w:rFonts w:ascii="Times New Roman"/>
          <w:b/>
          <w:bCs/>
          <w:lang w:val="es-DO"/>
        </w:rPr>
      </w:pPr>
    </w:p>
    <w:p w14:paraId="13DA31B5" w14:textId="1F0BF5B5" w:rsidR="00395860" w:rsidRPr="00D94C25" w:rsidRDefault="00395860" w:rsidP="00395860">
      <w:pPr>
        <w:pStyle w:val="Textoindependiente"/>
        <w:spacing w:line="446" w:lineRule="auto"/>
        <w:ind w:hanging="20"/>
        <w:jc w:val="center"/>
        <w:rPr>
          <w:rFonts w:ascii="Times New Roman"/>
          <w:b/>
          <w:bCs/>
          <w:lang w:val="es-DO"/>
        </w:rPr>
      </w:pPr>
      <w:r w:rsidRPr="00395860">
        <w:rPr>
          <w:rFonts w:ascii="Times New Roman"/>
          <w:b/>
          <w:bCs/>
          <w:lang w:val="es-DO"/>
        </w:rPr>
        <w:t>ANALISIS DE LA CARTERA DE CREDITO DE LOS BANCOS MULTIPLES EN REPUBLICA DOMINICANA (2022-2023)</w:t>
      </w:r>
    </w:p>
    <w:p w14:paraId="1C54619D" w14:textId="77777777" w:rsidR="00395860" w:rsidRDefault="00395860" w:rsidP="00395860">
      <w:pPr>
        <w:pStyle w:val="Textoindependiente"/>
        <w:ind w:hanging="20"/>
        <w:jc w:val="center"/>
        <w:rPr>
          <w:rFonts w:ascii="Times New Roman"/>
          <w:b/>
          <w:szCs w:val="22"/>
        </w:rPr>
      </w:pPr>
    </w:p>
    <w:p w14:paraId="6C318D76" w14:textId="77777777" w:rsidR="00395860" w:rsidRDefault="00395860" w:rsidP="00395860">
      <w:pPr>
        <w:pStyle w:val="Textoindependiente"/>
        <w:ind w:hanging="20"/>
        <w:jc w:val="center"/>
        <w:rPr>
          <w:rFonts w:ascii="Times New Roman"/>
          <w:b/>
          <w:szCs w:val="22"/>
        </w:rPr>
      </w:pPr>
    </w:p>
    <w:p w14:paraId="440CE85F" w14:textId="77777777" w:rsidR="00395860" w:rsidRDefault="00395860" w:rsidP="00395860">
      <w:pPr>
        <w:pStyle w:val="Textoindependiente"/>
        <w:ind w:hanging="20"/>
        <w:jc w:val="center"/>
        <w:rPr>
          <w:rFonts w:ascii="Times New Roman"/>
          <w:b/>
          <w:szCs w:val="22"/>
        </w:rPr>
      </w:pPr>
    </w:p>
    <w:p w14:paraId="3E3B4BC5" w14:textId="77777777" w:rsidR="00395860" w:rsidRDefault="00395860" w:rsidP="00395860">
      <w:pPr>
        <w:pStyle w:val="Textoindependiente"/>
        <w:ind w:hanging="20"/>
        <w:jc w:val="center"/>
        <w:rPr>
          <w:rFonts w:ascii="Times New Roman"/>
          <w:b/>
          <w:szCs w:val="22"/>
        </w:rPr>
      </w:pPr>
    </w:p>
    <w:p w14:paraId="03D69472" w14:textId="77777777" w:rsidR="00395860" w:rsidRDefault="00395860" w:rsidP="00395860">
      <w:pPr>
        <w:pStyle w:val="Textoindependiente"/>
        <w:ind w:hanging="20"/>
        <w:jc w:val="center"/>
        <w:rPr>
          <w:rFonts w:ascii="Times New Roman"/>
          <w:b/>
          <w:szCs w:val="22"/>
        </w:rPr>
      </w:pPr>
    </w:p>
    <w:p w14:paraId="5A097EA7" w14:textId="77777777" w:rsidR="00395860" w:rsidRDefault="00395860" w:rsidP="00395860">
      <w:pPr>
        <w:pStyle w:val="Textoindependiente"/>
        <w:spacing w:before="1"/>
        <w:ind w:hanging="20"/>
        <w:jc w:val="center"/>
        <w:rPr>
          <w:rFonts w:ascii="Times New Roman"/>
        </w:rPr>
      </w:pPr>
    </w:p>
    <w:p w14:paraId="394CB113" w14:textId="77777777" w:rsidR="00395860" w:rsidRPr="00D87D19" w:rsidRDefault="00395860" w:rsidP="00395860">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 xml:space="preserve">Rossy </w:t>
      </w:r>
      <w:proofErr w:type="spellStart"/>
      <w:r w:rsidRPr="00D87D19">
        <w:rPr>
          <w:rFonts w:ascii="Times New Roman" w:hAnsi="Times New Roman" w:cs="Times New Roman"/>
          <w:sz w:val="28"/>
        </w:rPr>
        <w:t>Elania</w:t>
      </w:r>
      <w:proofErr w:type="spellEnd"/>
      <w:r w:rsidRPr="00D87D19">
        <w:rPr>
          <w:rFonts w:ascii="Times New Roman" w:hAnsi="Times New Roman" w:cs="Times New Roman"/>
          <w:sz w:val="28"/>
        </w:rPr>
        <w:t xml:space="preserve"> Arvelo Pérez</w:t>
      </w:r>
    </w:p>
    <w:p w14:paraId="4E31E8AA" w14:textId="77777777" w:rsidR="00395860" w:rsidRPr="00D87D19" w:rsidRDefault="00395860" w:rsidP="00395860">
      <w:pPr>
        <w:spacing w:after="0" w:line="422" w:lineRule="auto"/>
        <w:ind w:hanging="20"/>
        <w:jc w:val="center"/>
        <w:rPr>
          <w:rFonts w:ascii="Times New Roman" w:hAnsi="Times New Roman" w:cs="Times New Roman"/>
          <w:sz w:val="28"/>
        </w:rPr>
      </w:pPr>
      <w:r w:rsidRPr="00D87D19">
        <w:rPr>
          <w:rFonts w:ascii="Times New Roman" w:hAnsi="Times New Roman" w:cs="Times New Roman"/>
          <w:sz w:val="28"/>
        </w:rPr>
        <w:t>20240861</w:t>
      </w:r>
    </w:p>
    <w:p w14:paraId="6BB79586" w14:textId="77777777" w:rsidR="00395860" w:rsidRPr="00087C5B" w:rsidRDefault="00395860" w:rsidP="00395860">
      <w:pPr>
        <w:spacing w:before="221"/>
        <w:rPr>
          <w:b/>
          <w:bCs/>
          <w:spacing w:val="-1"/>
          <w:sz w:val="14"/>
          <w:szCs w:val="12"/>
        </w:rPr>
      </w:pPr>
    </w:p>
    <w:p w14:paraId="7CF038BA" w14:textId="77777777" w:rsidR="00395860" w:rsidRDefault="00395860" w:rsidP="00395860">
      <w:pPr>
        <w:spacing w:before="221"/>
        <w:rPr>
          <w:b/>
          <w:bCs/>
          <w:spacing w:val="-1"/>
          <w:sz w:val="28"/>
        </w:rPr>
      </w:pPr>
    </w:p>
    <w:p w14:paraId="26BD2BF0" w14:textId="77777777" w:rsidR="00395860" w:rsidRPr="004F3359" w:rsidRDefault="00395860" w:rsidP="00395860">
      <w:pPr>
        <w:spacing w:before="221"/>
        <w:ind w:hanging="20"/>
        <w:jc w:val="center"/>
        <w:rPr>
          <w:rFonts w:ascii="Times New Roman" w:hAnsi="Times New Roman" w:cs="Times New Roman"/>
          <w:b/>
          <w:bCs/>
          <w:spacing w:val="-1"/>
          <w:sz w:val="28"/>
        </w:rPr>
      </w:pPr>
      <w:r w:rsidRPr="004F3359">
        <w:rPr>
          <w:rFonts w:ascii="Times New Roman" w:hAnsi="Times New Roman" w:cs="Times New Roman"/>
          <w:b/>
          <w:bCs/>
          <w:spacing w:val="-1"/>
          <w:sz w:val="28"/>
        </w:rPr>
        <w:t>Gregory Guillermo De La Rosa</w:t>
      </w:r>
    </w:p>
    <w:p w14:paraId="692BE654" w14:textId="77777777" w:rsidR="004B6F45" w:rsidRDefault="004B6F45" w:rsidP="004B6F45">
      <w:pPr>
        <w:jc w:val="both"/>
        <w:rPr>
          <w:rFonts w:ascii="Times New Roman" w:hAnsi="Times New Roman" w:cs="Times New Roman"/>
        </w:rPr>
      </w:pPr>
    </w:p>
    <w:p w14:paraId="05733769" w14:textId="77777777" w:rsidR="00087C5B" w:rsidRDefault="00087C5B" w:rsidP="004B6F45">
      <w:pPr>
        <w:jc w:val="both"/>
        <w:rPr>
          <w:rFonts w:ascii="Times New Roman" w:hAnsi="Times New Roman" w:cs="Times New Roman"/>
        </w:rPr>
      </w:pPr>
    </w:p>
    <w:p w14:paraId="5648D954" w14:textId="77777777" w:rsidR="004B6F45" w:rsidRDefault="004B6F45" w:rsidP="004B6F45">
      <w:pPr>
        <w:jc w:val="both"/>
        <w:rPr>
          <w:rFonts w:ascii="Times New Roman" w:hAnsi="Times New Roman" w:cs="Times New Roman"/>
        </w:rPr>
      </w:pPr>
    </w:p>
    <w:p w14:paraId="36FA0820" w14:textId="77777777" w:rsidR="004B6F45" w:rsidRPr="004B6F45" w:rsidRDefault="004B6F45" w:rsidP="004B6F45">
      <w:pPr>
        <w:jc w:val="both"/>
        <w:rPr>
          <w:rFonts w:ascii="Times New Roman" w:hAnsi="Times New Roman" w:cs="Times New Roman"/>
        </w:rPr>
      </w:pPr>
    </w:p>
    <w:p w14:paraId="08E78D0B" w14:textId="3139A16C" w:rsidR="002710AE" w:rsidRPr="002710AE" w:rsidRDefault="002710AE" w:rsidP="003647C9">
      <w:pPr>
        <w:pStyle w:val="Ttulo1"/>
        <w:numPr>
          <w:ilvl w:val="0"/>
          <w:numId w:val="0"/>
        </w:numPr>
        <w:jc w:val="center"/>
        <w:rPr>
          <w:color w:val="074F6A" w:themeColor="accent4" w:themeShade="80"/>
        </w:rPr>
      </w:pPr>
      <w:r w:rsidRPr="002710AE">
        <w:rPr>
          <w:color w:val="074F6A" w:themeColor="accent4" w:themeShade="80"/>
        </w:rPr>
        <w:t>Introducción</w:t>
      </w:r>
    </w:p>
    <w:p w14:paraId="11D97629" w14:textId="77777777" w:rsidR="004B6F45" w:rsidRDefault="004B6F45" w:rsidP="004B6F45">
      <w:pPr>
        <w:jc w:val="both"/>
        <w:rPr>
          <w:rFonts w:ascii="Times New Roman" w:hAnsi="Times New Roman" w:cs="Times New Roman"/>
        </w:rPr>
      </w:pPr>
    </w:p>
    <w:p w14:paraId="58CD95F0" w14:textId="77777777" w:rsidR="004B6F45" w:rsidRDefault="004B6F45" w:rsidP="004B6F45">
      <w:pPr>
        <w:jc w:val="both"/>
        <w:rPr>
          <w:rFonts w:ascii="Times New Roman" w:hAnsi="Times New Roman" w:cs="Times New Roman"/>
        </w:rPr>
      </w:pPr>
    </w:p>
    <w:p w14:paraId="361A8164" w14:textId="70D40BE6" w:rsidR="002710AE" w:rsidRDefault="002710AE" w:rsidP="004B6F45">
      <w:pPr>
        <w:jc w:val="both"/>
        <w:rPr>
          <w:rFonts w:ascii="Times New Roman" w:hAnsi="Times New Roman" w:cs="Times New Roman"/>
        </w:rPr>
      </w:pPr>
      <w:r w:rsidRPr="002710AE">
        <w:rPr>
          <w:rFonts w:ascii="Times New Roman" w:hAnsi="Times New Roman" w:cs="Times New Roman"/>
        </w:rPr>
        <w:t>Este informe presenta un análisis detallado de la cartera de crédito de los bancos múltiples de la República Dominicana durante el período 2022-2023. La información utilizada fue extraída de los reportes oficiales publicados por la Superintendencia de Bancos, y procesada mediante técnicas de análisis de datos utilizando el lenguaje estadístico R. Esta herramienta permitió organizar, depurar y visualizar la información de forma eficiente, facilitando la identificación de tendencias, patrones y posibles anomalías dentro del sistema financiero.</w:t>
      </w:r>
    </w:p>
    <w:p w14:paraId="2A0BE0D9" w14:textId="77777777" w:rsidR="004B6F45" w:rsidRPr="002710AE" w:rsidRDefault="004B6F45" w:rsidP="004B6F45">
      <w:pPr>
        <w:jc w:val="both"/>
        <w:rPr>
          <w:rFonts w:ascii="Times New Roman" w:hAnsi="Times New Roman" w:cs="Times New Roman"/>
        </w:rPr>
      </w:pPr>
    </w:p>
    <w:p w14:paraId="31E29B1E" w14:textId="77777777" w:rsidR="002710AE" w:rsidRDefault="002710AE" w:rsidP="004B6F45">
      <w:pPr>
        <w:jc w:val="both"/>
        <w:rPr>
          <w:rFonts w:ascii="Times New Roman" w:hAnsi="Times New Roman" w:cs="Times New Roman"/>
        </w:rPr>
      </w:pPr>
      <w:r w:rsidRPr="002710AE">
        <w:rPr>
          <w:rFonts w:ascii="Times New Roman" w:hAnsi="Times New Roman" w:cs="Times New Roman"/>
        </w:rPr>
        <w:t>El análisis se enfoca en diversos aspectos clave relacionados con la cartera de crédito, tales como su evolución anual, la composición por tipo de crédito, los niveles de morosidad y la participación de cada entidad bancaria en el total del sistema. Se presta especial atención al comportamiento de los principales bancos múltiples, evaluando su crecimiento en términos absolutos y relativos, así como su desempeño frente a indicadores de riesgo crediticio.</w:t>
      </w:r>
    </w:p>
    <w:p w14:paraId="1D76C799" w14:textId="77777777" w:rsidR="004B6F45" w:rsidRPr="002710AE" w:rsidRDefault="004B6F45" w:rsidP="004B6F45">
      <w:pPr>
        <w:jc w:val="both"/>
        <w:rPr>
          <w:rFonts w:ascii="Times New Roman" w:hAnsi="Times New Roman" w:cs="Times New Roman"/>
        </w:rPr>
      </w:pPr>
    </w:p>
    <w:p w14:paraId="5D6593CE" w14:textId="77777777" w:rsidR="002710AE" w:rsidRPr="002710AE" w:rsidRDefault="002710AE" w:rsidP="004B6F45">
      <w:pPr>
        <w:jc w:val="both"/>
        <w:rPr>
          <w:rFonts w:ascii="Times New Roman" w:hAnsi="Times New Roman" w:cs="Times New Roman"/>
        </w:rPr>
      </w:pPr>
      <w:r w:rsidRPr="002710AE">
        <w:rPr>
          <w:rFonts w:ascii="Times New Roman" w:hAnsi="Times New Roman" w:cs="Times New Roman"/>
        </w:rPr>
        <w:t>El objetivo general es ofrecer una visión integral sobre la dinámica del crédito bancario en el país, apoyando la toma de decisiones de investigadores, analistas y responsables del diseño de políticas públicas. A través de este enfoque, se busca contribuir a una mejor comprensión del estado actual del sistema bancario dominicano, destacando fortalezas, desafíos y áreas de oportunidad en la gestión del crédito durante los años 2022 y 2023.</w:t>
      </w:r>
    </w:p>
    <w:p w14:paraId="369AA2B9" w14:textId="77777777" w:rsidR="002710AE" w:rsidRPr="004B6F45" w:rsidRDefault="002710AE" w:rsidP="004B6F45">
      <w:pPr>
        <w:jc w:val="both"/>
        <w:rPr>
          <w:rFonts w:ascii="Times New Roman" w:hAnsi="Times New Roman" w:cs="Times New Roman"/>
        </w:rPr>
      </w:pPr>
    </w:p>
    <w:p w14:paraId="3D7D7696" w14:textId="77777777" w:rsidR="002710AE" w:rsidRPr="004B6F45" w:rsidRDefault="002710AE" w:rsidP="004B6F45">
      <w:pPr>
        <w:jc w:val="both"/>
        <w:rPr>
          <w:rFonts w:ascii="Times New Roman" w:hAnsi="Times New Roman" w:cs="Times New Roman"/>
        </w:rPr>
      </w:pPr>
    </w:p>
    <w:p w14:paraId="24D631C5" w14:textId="77777777" w:rsidR="002710AE" w:rsidRPr="004B6F45" w:rsidRDefault="002710AE" w:rsidP="004B6F45">
      <w:pPr>
        <w:jc w:val="both"/>
        <w:rPr>
          <w:rFonts w:ascii="Times New Roman" w:hAnsi="Times New Roman" w:cs="Times New Roman"/>
        </w:rPr>
      </w:pPr>
    </w:p>
    <w:p w14:paraId="609587B8" w14:textId="77777777" w:rsidR="002710AE" w:rsidRPr="004B6F45" w:rsidRDefault="002710AE" w:rsidP="004B6F45">
      <w:pPr>
        <w:jc w:val="both"/>
        <w:rPr>
          <w:rFonts w:ascii="Times New Roman" w:hAnsi="Times New Roman" w:cs="Times New Roman"/>
        </w:rPr>
      </w:pPr>
    </w:p>
    <w:p w14:paraId="6F0102F0" w14:textId="77777777" w:rsidR="002710AE" w:rsidRPr="004B6F45" w:rsidRDefault="002710AE" w:rsidP="004B6F45">
      <w:pPr>
        <w:jc w:val="both"/>
        <w:rPr>
          <w:rFonts w:ascii="Times New Roman" w:hAnsi="Times New Roman" w:cs="Times New Roman"/>
        </w:rPr>
      </w:pPr>
    </w:p>
    <w:p w14:paraId="22E2D186" w14:textId="77777777" w:rsidR="002710AE" w:rsidRPr="004B6F45" w:rsidRDefault="002710AE" w:rsidP="004B6F45">
      <w:pPr>
        <w:jc w:val="both"/>
        <w:rPr>
          <w:rFonts w:ascii="Times New Roman" w:hAnsi="Times New Roman" w:cs="Times New Roman"/>
        </w:rPr>
      </w:pPr>
    </w:p>
    <w:p w14:paraId="206F7342" w14:textId="77777777" w:rsidR="002710AE" w:rsidRPr="004B6F45" w:rsidRDefault="002710AE" w:rsidP="004B6F45">
      <w:pPr>
        <w:jc w:val="both"/>
        <w:rPr>
          <w:rFonts w:ascii="Times New Roman" w:hAnsi="Times New Roman" w:cs="Times New Roman"/>
        </w:rPr>
      </w:pPr>
    </w:p>
    <w:p w14:paraId="1DE32606" w14:textId="77777777" w:rsidR="002710AE" w:rsidRPr="004B6F45" w:rsidRDefault="002710AE" w:rsidP="004B6F45">
      <w:pPr>
        <w:jc w:val="both"/>
        <w:rPr>
          <w:rFonts w:ascii="Times New Roman" w:hAnsi="Times New Roman" w:cs="Times New Roman"/>
        </w:rPr>
      </w:pPr>
    </w:p>
    <w:p w14:paraId="0002302D" w14:textId="1B0246FB" w:rsidR="00395860" w:rsidRDefault="002710AE" w:rsidP="00395860">
      <w:pPr>
        <w:pStyle w:val="Ttulo1"/>
        <w:rPr>
          <w:color w:val="074F6A" w:themeColor="accent4" w:themeShade="80"/>
        </w:rPr>
      </w:pPr>
      <w:r w:rsidRPr="003647C9">
        <w:rPr>
          <w:color w:val="074F6A" w:themeColor="accent4" w:themeShade="80"/>
        </w:rPr>
        <w:lastRenderedPageBreak/>
        <w:t>Metodología</w:t>
      </w:r>
    </w:p>
    <w:p w14:paraId="2B540ACF" w14:textId="77777777" w:rsidR="00395860" w:rsidRPr="00395860" w:rsidRDefault="00395860" w:rsidP="00395860">
      <w:pPr>
        <w:rPr>
          <w:sz w:val="12"/>
          <w:szCs w:val="12"/>
        </w:rPr>
      </w:pPr>
    </w:p>
    <w:p w14:paraId="0CD72470" w14:textId="522F77E5" w:rsidR="00395860" w:rsidRDefault="003647C9" w:rsidP="004B6F45">
      <w:pPr>
        <w:jc w:val="both"/>
        <w:rPr>
          <w:rFonts w:ascii="Times New Roman" w:hAnsi="Times New Roman" w:cs="Times New Roman"/>
        </w:rPr>
      </w:pPr>
      <w:r w:rsidRPr="003647C9">
        <w:rPr>
          <w:rFonts w:ascii="Times New Roman" w:hAnsi="Times New Roman" w:cs="Times New Roman"/>
        </w:rPr>
        <w:t xml:space="preserve">Para la elaboración de este informe se empleó el lenguaje de programación </w:t>
      </w:r>
      <w:r w:rsidRPr="003647C9">
        <w:rPr>
          <w:rFonts w:ascii="Times New Roman" w:hAnsi="Times New Roman" w:cs="Times New Roman"/>
          <w:b/>
          <w:bCs/>
        </w:rPr>
        <w:t>R</w:t>
      </w:r>
      <w:r w:rsidRPr="003647C9">
        <w:rPr>
          <w:rFonts w:ascii="Times New Roman" w:hAnsi="Times New Roman" w:cs="Times New Roman"/>
        </w:rPr>
        <w:t>. El flujo de trabajo inició con la recolección de información desde los reportes públicos de la Superintendencia de Bancos de la República Dominicana, los cuales fueron descargados directamente en R a través del código y la configuración de la API de dicha institución.</w:t>
      </w:r>
    </w:p>
    <w:p w14:paraId="1C17E847" w14:textId="5C36A3EA" w:rsidR="00395860" w:rsidRPr="002710AE" w:rsidRDefault="002710AE" w:rsidP="004B6F45">
      <w:pPr>
        <w:jc w:val="both"/>
        <w:rPr>
          <w:rFonts w:ascii="Times New Roman" w:hAnsi="Times New Roman" w:cs="Times New Roman"/>
        </w:rPr>
      </w:pPr>
      <w:r w:rsidRPr="002710AE">
        <w:rPr>
          <w:rFonts w:ascii="Times New Roman" w:hAnsi="Times New Roman" w:cs="Times New Roman"/>
        </w:rPr>
        <w:t xml:space="preserve">Durante la fase de </w:t>
      </w:r>
      <w:r w:rsidRPr="002710AE">
        <w:rPr>
          <w:rFonts w:ascii="Times New Roman" w:hAnsi="Times New Roman" w:cs="Times New Roman"/>
          <w:b/>
          <w:bCs/>
        </w:rPr>
        <w:t>preprocesamiento</w:t>
      </w:r>
      <w:r w:rsidRPr="002710AE">
        <w:rPr>
          <w:rFonts w:ascii="Times New Roman" w:hAnsi="Times New Roman" w:cs="Times New Roman"/>
        </w:rPr>
        <w:t xml:space="preserve">, se utilizó el paquete </w:t>
      </w:r>
      <w:proofErr w:type="spellStart"/>
      <w:r w:rsidRPr="002710AE">
        <w:rPr>
          <w:rFonts w:ascii="Times New Roman" w:hAnsi="Times New Roman" w:cs="Times New Roman"/>
        </w:rPr>
        <w:t>tidyverse</w:t>
      </w:r>
      <w:proofErr w:type="spellEnd"/>
      <w:r w:rsidRPr="002710AE">
        <w:rPr>
          <w:rFonts w:ascii="Times New Roman" w:hAnsi="Times New Roman" w:cs="Times New Roman"/>
        </w:rPr>
        <w:t xml:space="preserve"> (principalmente </w:t>
      </w:r>
      <w:proofErr w:type="spellStart"/>
      <w:r w:rsidRPr="002710AE">
        <w:rPr>
          <w:rFonts w:ascii="Times New Roman" w:hAnsi="Times New Roman" w:cs="Times New Roman"/>
        </w:rPr>
        <w:t>dplyr</w:t>
      </w:r>
      <w:proofErr w:type="spellEnd"/>
      <w:r w:rsidRPr="002710AE">
        <w:rPr>
          <w:rFonts w:ascii="Times New Roman" w:hAnsi="Times New Roman" w:cs="Times New Roman"/>
        </w:rPr>
        <w:t xml:space="preserve"> y </w:t>
      </w:r>
      <w:proofErr w:type="spellStart"/>
      <w:r w:rsidRPr="002710AE">
        <w:rPr>
          <w:rFonts w:ascii="Times New Roman" w:hAnsi="Times New Roman" w:cs="Times New Roman"/>
        </w:rPr>
        <w:t>tidyr</w:t>
      </w:r>
      <w:proofErr w:type="spellEnd"/>
      <w:r w:rsidRPr="002710AE">
        <w:rPr>
          <w:rFonts w:ascii="Times New Roman" w:hAnsi="Times New Roman" w:cs="Times New Roman"/>
        </w:rPr>
        <w:t>) para la limpieza y estructuración de los datos. Esto incluyó la estandarización de nombres de columnas, la conversión de formatos de fechas y números, así como la eliminación de registros incompletos o inconsistentes.</w:t>
      </w:r>
    </w:p>
    <w:p w14:paraId="12CF5388" w14:textId="373B23B9" w:rsidR="00395860" w:rsidRPr="002710AE" w:rsidRDefault="002710AE" w:rsidP="004B6F45">
      <w:pPr>
        <w:jc w:val="both"/>
        <w:rPr>
          <w:rFonts w:ascii="Times New Roman" w:hAnsi="Times New Roman" w:cs="Times New Roman"/>
        </w:rPr>
      </w:pPr>
      <w:r w:rsidRPr="002710AE">
        <w:rPr>
          <w:rFonts w:ascii="Times New Roman" w:hAnsi="Times New Roman" w:cs="Times New Roman"/>
        </w:rPr>
        <w:t xml:space="preserve">Una vez depurados, los datos fueron </w:t>
      </w:r>
      <w:r w:rsidRPr="002710AE">
        <w:rPr>
          <w:rFonts w:ascii="Times New Roman" w:hAnsi="Times New Roman" w:cs="Times New Roman"/>
          <w:b/>
          <w:bCs/>
        </w:rPr>
        <w:t>agrupados por tipo de cartera</w:t>
      </w:r>
      <w:r w:rsidRPr="002710AE">
        <w:rPr>
          <w:rFonts w:ascii="Times New Roman" w:hAnsi="Times New Roman" w:cs="Times New Roman"/>
        </w:rPr>
        <w:t xml:space="preserve"> (hipotecaria, consumo, comercial y tarjetas de crédito) y por entidad financiera. Esta segmentación permitió analizar el comportamiento crediticio de manera más específica, facilitando la comparación entre distintos bancos y tipos de crédito.</w:t>
      </w:r>
    </w:p>
    <w:p w14:paraId="006342BA" w14:textId="77777777" w:rsidR="002710AE" w:rsidRDefault="002710AE" w:rsidP="004B6F45">
      <w:pPr>
        <w:jc w:val="both"/>
        <w:rPr>
          <w:rFonts w:ascii="Times New Roman" w:hAnsi="Times New Roman" w:cs="Times New Roman"/>
        </w:rPr>
      </w:pPr>
      <w:r w:rsidRPr="002710AE">
        <w:rPr>
          <w:rFonts w:ascii="Times New Roman" w:hAnsi="Times New Roman" w:cs="Times New Roman"/>
        </w:rPr>
        <w:t>Para el análisis descriptivo y la generación de estadísticas, se aplicaron funciones de resumen (</w:t>
      </w:r>
      <w:proofErr w:type="spellStart"/>
      <w:r w:rsidRPr="002710AE">
        <w:rPr>
          <w:rFonts w:ascii="Times New Roman" w:hAnsi="Times New Roman" w:cs="Times New Roman"/>
        </w:rPr>
        <w:t>summarise</w:t>
      </w:r>
      <w:proofErr w:type="spellEnd"/>
      <w:r w:rsidRPr="002710AE">
        <w:rPr>
          <w:rFonts w:ascii="Times New Roman" w:hAnsi="Times New Roman" w:cs="Times New Roman"/>
        </w:rPr>
        <w:t xml:space="preserve">, </w:t>
      </w:r>
      <w:proofErr w:type="spellStart"/>
      <w:r w:rsidRPr="002710AE">
        <w:rPr>
          <w:rFonts w:ascii="Times New Roman" w:hAnsi="Times New Roman" w:cs="Times New Roman"/>
        </w:rPr>
        <w:t>group_by</w:t>
      </w:r>
      <w:proofErr w:type="spellEnd"/>
      <w:r w:rsidRPr="002710AE">
        <w:rPr>
          <w:rFonts w:ascii="Times New Roman" w:hAnsi="Times New Roman" w:cs="Times New Roman"/>
        </w:rPr>
        <w:t xml:space="preserve">, entre otras), mientras que la </w:t>
      </w:r>
      <w:r w:rsidRPr="002710AE">
        <w:rPr>
          <w:rFonts w:ascii="Times New Roman" w:hAnsi="Times New Roman" w:cs="Times New Roman"/>
          <w:b/>
          <w:bCs/>
        </w:rPr>
        <w:t>visualización de los resultados</w:t>
      </w:r>
      <w:r w:rsidRPr="002710AE">
        <w:rPr>
          <w:rFonts w:ascii="Times New Roman" w:hAnsi="Times New Roman" w:cs="Times New Roman"/>
        </w:rPr>
        <w:t xml:space="preserve"> se realizó con ayuda de los paquetes ggplot2 y </w:t>
      </w:r>
      <w:proofErr w:type="spellStart"/>
      <w:r w:rsidRPr="002710AE">
        <w:rPr>
          <w:rFonts w:ascii="Times New Roman" w:hAnsi="Times New Roman" w:cs="Times New Roman"/>
        </w:rPr>
        <w:t>scales</w:t>
      </w:r>
      <w:proofErr w:type="spellEnd"/>
      <w:r w:rsidRPr="002710AE">
        <w:rPr>
          <w:rFonts w:ascii="Times New Roman" w:hAnsi="Times New Roman" w:cs="Times New Roman"/>
        </w:rPr>
        <w:t>, permitiendo ilustrar las variaciones mensuales y anuales de la cartera de crédito, los niveles de morosidad, así como la participación de cada banco en el sistema.</w:t>
      </w:r>
    </w:p>
    <w:p w14:paraId="23BE01CE" w14:textId="77777777" w:rsidR="00395860" w:rsidRPr="002710AE" w:rsidRDefault="00395860" w:rsidP="004B6F45">
      <w:pPr>
        <w:jc w:val="both"/>
        <w:rPr>
          <w:rFonts w:ascii="Times New Roman" w:hAnsi="Times New Roman" w:cs="Times New Roman"/>
        </w:rPr>
      </w:pPr>
    </w:p>
    <w:p w14:paraId="7B0395BC" w14:textId="77777777" w:rsidR="002710AE" w:rsidRPr="002710AE" w:rsidRDefault="002710AE" w:rsidP="004B6F45">
      <w:pPr>
        <w:jc w:val="both"/>
        <w:rPr>
          <w:rFonts w:ascii="Times New Roman" w:hAnsi="Times New Roman" w:cs="Times New Roman"/>
        </w:rPr>
      </w:pPr>
      <w:r w:rsidRPr="002710AE">
        <w:rPr>
          <w:rFonts w:ascii="Times New Roman" w:hAnsi="Times New Roman" w:cs="Times New Roman"/>
        </w:rPr>
        <w:t>Asimismo, se calcularon tasas de crecimiento anual, proporciones por tipo de cartera y porcentajes de morosidad, a fin de ofrecer una visión más completa de la evolución del crédito bancario durante el período 2022-2023. La metodología adoptada permitió transformar los datos brutos en información clara, útil y visualmente comprensible para facilitar su interpretación y análisis comparativo.</w:t>
      </w:r>
    </w:p>
    <w:p w14:paraId="73EA1FB8" w14:textId="77777777" w:rsidR="002710AE" w:rsidRDefault="002710AE" w:rsidP="004B6F45">
      <w:pPr>
        <w:jc w:val="both"/>
        <w:rPr>
          <w:rFonts w:ascii="Times New Roman" w:hAnsi="Times New Roman" w:cs="Times New Roman"/>
        </w:rPr>
      </w:pPr>
    </w:p>
    <w:p w14:paraId="330CB682" w14:textId="77777777" w:rsidR="00395860" w:rsidRPr="004B6F45" w:rsidRDefault="00395860" w:rsidP="004B6F45">
      <w:pPr>
        <w:jc w:val="both"/>
        <w:rPr>
          <w:rFonts w:ascii="Times New Roman" w:hAnsi="Times New Roman" w:cs="Times New Roman"/>
        </w:rPr>
      </w:pPr>
    </w:p>
    <w:p w14:paraId="78EC37C7" w14:textId="3516C9BB" w:rsidR="002710AE" w:rsidRPr="004B6F45" w:rsidRDefault="002710AE" w:rsidP="003647C9">
      <w:pPr>
        <w:pStyle w:val="Ttulo1"/>
        <w:rPr>
          <w:color w:val="074F6A" w:themeColor="accent4" w:themeShade="80"/>
        </w:rPr>
      </w:pPr>
      <w:r w:rsidRPr="004B6F45">
        <w:rPr>
          <w:color w:val="074F6A" w:themeColor="accent4" w:themeShade="80"/>
        </w:rPr>
        <w:t>Resultados</w:t>
      </w:r>
    </w:p>
    <w:p w14:paraId="03DF2898" w14:textId="4D0D8266" w:rsidR="002710AE" w:rsidRDefault="003647C9" w:rsidP="004B6F45">
      <w:pPr>
        <w:jc w:val="both"/>
        <w:rPr>
          <w:rFonts w:ascii="Times New Roman" w:hAnsi="Times New Roman" w:cs="Times New Roman"/>
        </w:rPr>
      </w:pPr>
      <w:r w:rsidRPr="003647C9">
        <w:rPr>
          <w:rFonts w:ascii="Times New Roman" w:hAnsi="Times New Roman" w:cs="Times New Roman"/>
        </w:rPr>
        <w:t>En esta sección se presentan los principales hallazgos derivados del análisis de la información recopilada. Los resultados abarcan la evolución de la cartera de crédito, el comportamiento de la morosidad, la participación de las distintas entidades financieras y otros indicadores relevantes que permiten evaluar el desempeño del sistema bancario de la República Dominicana durante el período analizado.</w:t>
      </w:r>
    </w:p>
    <w:p w14:paraId="2BC8266E" w14:textId="77777777" w:rsidR="003647C9" w:rsidRDefault="003647C9" w:rsidP="004B6F45">
      <w:pPr>
        <w:jc w:val="both"/>
        <w:rPr>
          <w:rFonts w:ascii="Times New Roman" w:hAnsi="Times New Roman" w:cs="Times New Roman"/>
        </w:rPr>
      </w:pPr>
    </w:p>
    <w:p w14:paraId="1E06AC86" w14:textId="77777777" w:rsidR="00395860" w:rsidRPr="004B6F45" w:rsidRDefault="00395860" w:rsidP="004B6F45">
      <w:pPr>
        <w:jc w:val="both"/>
        <w:rPr>
          <w:rFonts w:ascii="Times New Roman" w:hAnsi="Times New Roman" w:cs="Times New Roman"/>
        </w:rPr>
      </w:pPr>
    </w:p>
    <w:p w14:paraId="5B0DF90E" w14:textId="4C558929" w:rsidR="002710AE" w:rsidRDefault="002710AE" w:rsidP="00DB3587">
      <w:pPr>
        <w:pStyle w:val="Ttulo2"/>
        <w:tabs>
          <w:tab w:val="clear" w:pos="1350"/>
          <w:tab w:val="left" w:pos="1170"/>
        </w:tabs>
        <w:ind w:left="1350"/>
        <w:rPr>
          <w:color w:val="074F6A" w:themeColor="accent4" w:themeShade="80"/>
        </w:rPr>
      </w:pPr>
      <w:r w:rsidRPr="00DB3587">
        <w:rPr>
          <w:color w:val="074F6A" w:themeColor="accent4" w:themeShade="80"/>
        </w:rPr>
        <w:lastRenderedPageBreak/>
        <w:t>Evolución de la Cartera Total</w:t>
      </w:r>
    </w:p>
    <w:p w14:paraId="29761635" w14:textId="77777777" w:rsidR="00395860" w:rsidRPr="00395860" w:rsidRDefault="00395860" w:rsidP="00395860">
      <w:pPr>
        <w:rPr>
          <w:sz w:val="12"/>
          <w:szCs w:val="12"/>
        </w:rPr>
      </w:pPr>
    </w:p>
    <w:p w14:paraId="4E83EF6C" w14:textId="77777777" w:rsidR="004B6F45" w:rsidRDefault="004B6F45" w:rsidP="004B6F45">
      <w:pPr>
        <w:jc w:val="both"/>
        <w:rPr>
          <w:rFonts w:ascii="Times New Roman" w:hAnsi="Times New Roman" w:cs="Times New Roman"/>
        </w:rPr>
      </w:pPr>
      <w:r w:rsidRPr="004B6F45">
        <w:rPr>
          <w:rFonts w:ascii="Times New Roman" w:hAnsi="Times New Roman" w:cs="Times New Roman"/>
        </w:rPr>
        <w:t xml:space="preserve">Durante el período analizado, la cartera total se mantuvo </w:t>
      </w:r>
      <w:r w:rsidRPr="004B6F45">
        <w:rPr>
          <w:rFonts w:ascii="Times New Roman" w:hAnsi="Times New Roman" w:cs="Times New Roman"/>
          <w:b/>
          <w:bCs/>
        </w:rPr>
        <w:t>estable durante 2022</w:t>
      </w:r>
      <w:r w:rsidRPr="004B6F45">
        <w:rPr>
          <w:rFonts w:ascii="Times New Roman" w:hAnsi="Times New Roman" w:cs="Times New Roman"/>
        </w:rPr>
        <w:t xml:space="preserve">, con montos cercanos a los </w:t>
      </w:r>
      <w:r w:rsidRPr="004B6F45">
        <w:rPr>
          <w:rFonts w:ascii="Times New Roman" w:hAnsi="Times New Roman" w:cs="Times New Roman"/>
          <w:b/>
          <w:bCs/>
        </w:rPr>
        <w:t>RD$ 4,500 millones mensuales</w:t>
      </w:r>
      <w:r w:rsidRPr="004B6F45">
        <w:rPr>
          <w:rFonts w:ascii="Times New Roman" w:hAnsi="Times New Roman" w:cs="Times New Roman"/>
        </w:rPr>
        <w:t xml:space="preserve">. Sin embargo, en diciembre de 2022 se observa un </w:t>
      </w:r>
      <w:r w:rsidRPr="004B6F45">
        <w:rPr>
          <w:rFonts w:ascii="Times New Roman" w:hAnsi="Times New Roman" w:cs="Times New Roman"/>
          <w:b/>
          <w:bCs/>
        </w:rPr>
        <w:t>incremento abrupto</w:t>
      </w:r>
      <w:r w:rsidRPr="004B6F45">
        <w:rPr>
          <w:rFonts w:ascii="Times New Roman" w:hAnsi="Times New Roman" w:cs="Times New Roman"/>
        </w:rPr>
        <w:t xml:space="preserve">, superando los </w:t>
      </w:r>
      <w:r w:rsidRPr="004B6F45">
        <w:rPr>
          <w:rFonts w:ascii="Times New Roman" w:hAnsi="Times New Roman" w:cs="Times New Roman"/>
          <w:b/>
          <w:bCs/>
        </w:rPr>
        <w:t>RD$ 13,500 millones</w:t>
      </w:r>
      <w:r w:rsidRPr="004B6F45">
        <w:rPr>
          <w:rFonts w:ascii="Times New Roman" w:hAnsi="Times New Roman" w:cs="Times New Roman"/>
        </w:rPr>
        <w:t>, para luego descender y estabilizarse nuevamente en 2023.</w:t>
      </w:r>
    </w:p>
    <w:p w14:paraId="279407D3" w14:textId="77777777" w:rsidR="00395860" w:rsidRDefault="00395860" w:rsidP="004B6F45">
      <w:pPr>
        <w:jc w:val="both"/>
        <w:rPr>
          <w:rFonts w:ascii="Times New Roman" w:hAnsi="Times New Roman" w:cs="Times New Roman"/>
        </w:rPr>
      </w:pPr>
    </w:p>
    <w:p w14:paraId="1BE21EAA" w14:textId="77777777" w:rsidR="00395860" w:rsidRDefault="00395860" w:rsidP="004B6F45">
      <w:pPr>
        <w:jc w:val="both"/>
        <w:rPr>
          <w:rFonts w:ascii="Times New Roman" w:hAnsi="Times New Roman" w:cs="Times New Roman"/>
        </w:rPr>
      </w:pPr>
    </w:p>
    <w:p w14:paraId="3684D3E8" w14:textId="6F01D38B" w:rsidR="004B6F45" w:rsidRPr="004B6F45" w:rsidRDefault="00DB3587" w:rsidP="00DB3587">
      <w:pPr>
        <w:jc w:val="center"/>
        <w:rPr>
          <w:rFonts w:ascii="Times New Roman" w:hAnsi="Times New Roman" w:cs="Times New Roman"/>
        </w:rPr>
      </w:pPr>
      <w:r w:rsidRPr="00DB3587">
        <w:rPr>
          <w:rFonts w:ascii="Times New Roman" w:hAnsi="Times New Roman" w:cs="Times New Roman"/>
        </w:rPr>
        <w:drawing>
          <wp:inline distT="0" distB="0" distL="0" distR="0" wp14:anchorId="3719F40F" wp14:editId="302AA4D2">
            <wp:extent cx="4086225" cy="5086933"/>
            <wp:effectExtent l="0" t="0" r="0" b="0"/>
            <wp:docPr id="1758467147" name="Imagen 1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7147" name="Imagen 10" descr="Gráfic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104" cy="5091763"/>
                    </a:xfrm>
                    <a:prstGeom prst="rect">
                      <a:avLst/>
                    </a:prstGeom>
                    <a:noFill/>
                    <a:ln>
                      <a:noFill/>
                    </a:ln>
                  </pic:spPr>
                </pic:pic>
              </a:graphicData>
            </a:graphic>
          </wp:inline>
        </w:drawing>
      </w:r>
      <w:r w:rsidR="004B6F45" w:rsidRPr="004B6F45">
        <w:rPr>
          <w:rFonts w:ascii="Times New Roman" w:hAnsi="Times New Roman" w:cs="Times New Roman"/>
        </w:rPr>
        <w:br/>
        <w:t xml:space="preserve">Este pico podría deberse a efectos estacionales (como mayores colocaciones en diciembre) o a un cambio contable </w:t>
      </w:r>
      <w:r w:rsidRPr="004B6F45">
        <w:rPr>
          <w:rFonts w:ascii="Times New Roman" w:hAnsi="Times New Roman" w:cs="Times New Roman"/>
        </w:rPr>
        <w:t>u</w:t>
      </w:r>
      <w:r w:rsidR="004B6F45" w:rsidRPr="004B6F45">
        <w:rPr>
          <w:rFonts w:ascii="Times New Roman" w:hAnsi="Times New Roman" w:cs="Times New Roman"/>
        </w:rPr>
        <w:t xml:space="preserve"> operativo puntual.</w:t>
      </w:r>
    </w:p>
    <w:p w14:paraId="48430EB4" w14:textId="77777777" w:rsidR="002710AE" w:rsidRDefault="002710AE" w:rsidP="004B6F45">
      <w:pPr>
        <w:jc w:val="both"/>
        <w:rPr>
          <w:rFonts w:ascii="Times New Roman" w:hAnsi="Times New Roman" w:cs="Times New Roman"/>
        </w:rPr>
      </w:pPr>
    </w:p>
    <w:p w14:paraId="5A4CC910" w14:textId="77777777" w:rsidR="00395860" w:rsidRDefault="00395860" w:rsidP="004B6F45">
      <w:pPr>
        <w:jc w:val="both"/>
        <w:rPr>
          <w:rFonts w:ascii="Times New Roman" w:hAnsi="Times New Roman" w:cs="Times New Roman"/>
        </w:rPr>
      </w:pPr>
    </w:p>
    <w:p w14:paraId="43A121D9" w14:textId="77777777" w:rsidR="00395860" w:rsidRDefault="00395860" w:rsidP="004B6F45">
      <w:pPr>
        <w:jc w:val="both"/>
        <w:rPr>
          <w:rFonts w:ascii="Times New Roman" w:hAnsi="Times New Roman" w:cs="Times New Roman"/>
        </w:rPr>
      </w:pPr>
    </w:p>
    <w:p w14:paraId="640E2BCF" w14:textId="77777777" w:rsidR="00395860" w:rsidRPr="004B6F45" w:rsidRDefault="00395860" w:rsidP="004B6F45">
      <w:pPr>
        <w:jc w:val="both"/>
        <w:rPr>
          <w:rFonts w:ascii="Times New Roman" w:hAnsi="Times New Roman" w:cs="Times New Roman"/>
        </w:rPr>
      </w:pPr>
    </w:p>
    <w:p w14:paraId="03A52545" w14:textId="5DD97548" w:rsidR="004B6F45" w:rsidRPr="00DB3587" w:rsidRDefault="004B6F45" w:rsidP="00DB3587">
      <w:pPr>
        <w:pStyle w:val="Ttulo2"/>
        <w:ind w:left="1350" w:hanging="540"/>
        <w:rPr>
          <w:color w:val="074F6A" w:themeColor="accent4" w:themeShade="80"/>
        </w:rPr>
      </w:pPr>
      <w:r w:rsidRPr="00DB3587">
        <w:rPr>
          <w:color w:val="074F6A" w:themeColor="accent4" w:themeShade="80"/>
        </w:rPr>
        <w:lastRenderedPageBreak/>
        <w:t>Monto de Deuda por Entidad (</w:t>
      </w:r>
      <w:r w:rsidR="00395860" w:rsidRPr="00DB3587">
        <w:rPr>
          <w:color w:val="074F6A" w:themeColor="accent4" w:themeShade="80"/>
        </w:rPr>
        <w:t>diciembre</w:t>
      </w:r>
      <w:r w:rsidRPr="00DB3587">
        <w:rPr>
          <w:color w:val="074F6A" w:themeColor="accent4" w:themeShade="80"/>
        </w:rPr>
        <w:t xml:space="preserve"> 2023)</w:t>
      </w:r>
    </w:p>
    <w:p w14:paraId="092AA7B6"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Al cierre de diciembre de 2023, las entidades con </w:t>
      </w:r>
      <w:r w:rsidRPr="004B6F45">
        <w:rPr>
          <w:rFonts w:ascii="Times New Roman" w:hAnsi="Times New Roman" w:cs="Times New Roman"/>
          <w:b/>
          <w:bCs/>
        </w:rPr>
        <w:t>mayor volumen de cartera de crédito</w:t>
      </w:r>
      <w:r w:rsidRPr="004B6F45">
        <w:rPr>
          <w:rFonts w:ascii="Times New Roman" w:hAnsi="Times New Roman" w:cs="Times New Roman"/>
        </w:rPr>
        <w:t xml:space="preserve"> fueron:</w:t>
      </w:r>
    </w:p>
    <w:p w14:paraId="4470A7AA"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QIK Banco Digital</w:t>
      </w:r>
    </w:p>
    <w:p w14:paraId="30DD0797"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 xml:space="preserve">Banco </w:t>
      </w:r>
      <w:proofErr w:type="spellStart"/>
      <w:r w:rsidRPr="004B6F45">
        <w:rPr>
          <w:rFonts w:ascii="Times New Roman" w:hAnsi="Times New Roman" w:cs="Times New Roman"/>
          <w:b/>
          <w:bCs/>
        </w:rPr>
        <w:t>ADemi</w:t>
      </w:r>
      <w:proofErr w:type="spellEnd"/>
    </w:p>
    <w:p w14:paraId="2A78F5BD"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Banco Popular</w:t>
      </w:r>
    </w:p>
    <w:p w14:paraId="7D780AE1"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Scotiabank</w:t>
      </w:r>
    </w:p>
    <w:p w14:paraId="014654ED" w14:textId="77777777" w:rsidR="004B6F45" w:rsidRPr="004B6F45" w:rsidRDefault="004B6F45" w:rsidP="004B6F45">
      <w:pPr>
        <w:pStyle w:val="Prrafodelista"/>
        <w:numPr>
          <w:ilvl w:val="0"/>
          <w:numId w:val="2"/>
        </w:numPr>
        <w:jc w:val="both"/>
        <w:rPr>
          <w:rFonts w:ascii="Times New Roman" w:hAnsi="Times New Roman" w:cs="Times New Roman"/>
        </w:rPr>
      </w:pPr>
      <w:r w:rsidRPr="004B6F45">
        <w:rPr>
          <w:rFonts w:ascii="Times New Roman" w:hAnsi="Times New Roman" w:cs="Times New Roman"/>
          <w:b/>
          <w:bCs/>
        </w:rPr>
        <w:t>Banco BHD León</w:t>
      </w:r>
    </w:p>
    <w:p w14:paraId="0234ACE4" w14:textId="77777777" w:rsidR="004B6F45" w:rsidRDefault="004B6F45" w:rsidP="004B6F45">
      <w:pPr>
        <w:jc w:val="both"/>
        <w:rPr>
          <w:rFonts w:ascii="Times New Roman" w:hAnsi="Times New Roman" w:cs="Times New Roman"/>
        </w:rPr>
      </w:pPr>
      <w:r w:rsidRPr="004B6F45">
        <w:rPr>
          <w:rFonts w:ascii="Times New Roman" w:hAnsi="Times New Roman" w:cs="Times New Roman"/>
        </w:rPr>
        <w:t xml:space="preserve">Por otro lado, </w:t>
      </w:r>
      <w:r w:rsidRPr="004B6F45">
        <w:rPr>
          <w:rFonts w:ascii="Times New Roman" w:hAnsi="Times New Roman" w:cs="Times New Roman"/>
          <w:b/>
          <w:bCs/>
        </w:rPr>
        <w:t>Citibank</w:t>
      </w:r>
      <w:r w:rsidRPr="004B6F45">
        <w:rPr>
          <w:rFonts w:ascii="Times New Roman" w:hAnsi="Times New Roman" w:cs="Times New Roman"/>
        </w:rPr>
        <w:t xml:space="preserve"> y </w:t>
      </w:r>
      <w:proofErr w:type="spellStart"/>
      <w:r w:rsidRPr="004B6F45">
        <w:rPr>
          <w:rFonts w:ascii="Times New Roman" w:hAnsi="Times New Roman" w:cs="Times New Roman"/>
          <w:b/>
          <w:bCs/>
        </w:rPr>
        <w:t>Lafise</w:t>
      </w:r>
      <w:proofErr w:type="spellEnd"/>
      <w:r w:rsidRPr="004B6F45">
        <w:rPr>
          <w:rFonts w:ascii="Times New Roman" w:hAnsi="Times New Roman" w:cs="Times New Roman"/>
        </w:rPr>
        <w:t xml:space="preserve"> presentaron los volúmenes más bajos del grupo analizado.</w:t>
      </w:r>
    </w:p>
    <w:p w14:paraId="58F5BA9B" w14:textId="77777777" w:rsidR="00395860" w:rsidRDefault="00395860" w:rsidP="004B6F45">
      <w:pPr>
        <w:jc w:val="both"/>
        <w:rPr>
          <w:rFonts w:ascii="Times New Roman" w:hAnsi="Times New Roman" w:cs="Times New Roman"/>
        </w:rPr>
      </w:pPr>
    </w:p>
    <w:p w14:paraId="2CABD76C" w14:textId="46BF10F6" w:rsidR="00DB3587" w:rsidRPr="00DB3587" w:rsidRDefault="00DB3587" w:rsidP="00DB3587">
      <w:pPr>
        <w:jc w:val="center"/>
      </w:pPr>
      <w:r>
        <w:rPr>
          <w:noProof/>
        </w:rPr>
        <mc:AlternateContent>
          <mc:Choice Requires="wps">
            <w:drawing>
              <wp:inline distT="0" distB="0" distL="0" distR="0" wp14:anchorId="52916348" wp14:editId="3B0FCACB">
                <wp:extent cx="304800" cy="304800"/>
                <wp:effectExtent l="0" t="0" r="0" b="0"/>
                <wp:docPr id="326263521"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2C501"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3587">
        <w:drawing>
          <wp:inline distT="0" distB="0" distL="0" distR="0" wp14:anchorId="02D12602" wp14:editId="1560812B">
            <wp:extent cx="4210050" cy="5241083"/>
            <wp:effectExtent l="0" t="0" r="0" b="0"/>
            <wp:docPr id="1718456090"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56090" name="Imagen 8" descr="Gráfic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4418" cy="5246520"/>
                    </a:xfrm>
                    <a:prstGeom prst="rect">
                      <a:avLst/>
                    </a:prstGeom>
                    <a:noFill/>
                    <a:ln>
                      <a:noFill/>
                    </a:ln>
                  </pic:spPr>
                </pic:pic>
              </a:graphicData>
            </a:graphic>
          </wp:inline>
        </w:drawing>
      </w:r>
    </w:p>
    <w:p w14:paraId="39D9616D" w14:textId="58F90182" w:rsidR="004B6F45" w:rsidRPr="004B6F45" w:rsidRDefault="004B6F45" w:rsidP="00DB3587">
      <w:pPr>
        <w:jc w:val="center"/>
        <w:rPr>
          <w:rFonts w:ascii="Times New Roman" w:hAnsi="Times New Roman" w:cs="Times New Roman"/>
        </w:rPr>
      </w:pPr>
      <w:r w:rsidRPr="004B6F45">
        <w:rPr>
          <w:rFonts w:ascii="Times New Roman" w:hAnsi="Times New Roman" w:cs="Times New Roman"/>
        </w:rPr>
        <w:t>La presencia de entidades digitales como QIK en los primeros lugares sugiere una transformación significativa en la banca tradicional.</w:t>
      </w:r>
    </w:p>
    <w:p w14:paraId="436BF416" w14:textId="77777777" w:rsidR="004B6F45" w:rsidRPr="004B6F45" w:rsidRDefault="004B6F45" w:rsidP="004B6F45">
      <w:pPr>
        <w:jc w:val="both"/>
        <w:rPr>
          <w:rFonts w:ascii="Times New Roman" w:hAnsi="Times New Roman" w:cs="Times New Roman"/>
        </w:rPr>
      </w:pPr>
    </w:p>
    <w:p w14:paraId="16691AF7" w14:textId="57690356" w:rsidR="004B6F45" w:rsidRPr="004B6F45" w:rsidRDefault="004B6F45" w:rsidP="00DB3587">
      <w:pPr>
        <w:pStyle w:val="Ttulo2"/>
        <w:ind w:left="1350" w:hanging="540"/>
        <w:rPr>
          <w:color w:val="074F6A" w:themeColor="accent4" w:themeShade="80"/>
        </w:rPr>
      </w:pPr>
      <w:r w:rsidRPr="004B6F45">
        <w:rPr>
          <w:color w:val="074F6A" w:themeColor="accent4" w:themeShade="80"/>
        </w:rPr>
        <w:lastRenderedPageBreak/>
        <w:t>Morosidad por Tipo de Cartera</w:t>
      </w:r>
    </w:p>
    <w:p w14:paraId="593C4441"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El análisis de morosidad por tipo de crédito al cierre de diciembre de 2023 muestra una distribución </w:t>
      </w:r>
      <w:r w:rsidRPr="004B6F45">
        <w:rPr>
          <w:rFonts w:ascii="Times New Roman" w:hAnsi="Times New Roman" w:cs="Times New Roman"/>
          <w:b/>
          <w:bCs/>
        </w:rPr>
        <w:t>uniforme</w:t>
      </w:r>
      <w:r w:rsidRPr="004B6F45">
        <w:rPr>
          <w:rFonts w:ascii="Times New Roman" w:hAnsi="Times New Roman" w:cs="Times New Roman"/>
        </w:rPr>
        <w:t xml:space="preserve"> entre los cuatro tipos principales:</w:t>
      </w:r>
    </w:p>
    <w:p w14:paraId="7813593C"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Comercial</w:t>
      </w:r>
    </w:p>
    <w:p w14:paraId="19535B05"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Consumo</w:t>
      </w:r>
    </w:p>
    <w:p w14:paraId="2DD78AFC"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Hipotecario</w:t>
      </w:r>
    </w:p>
    <w:p w14:paraId="40FBB9EB" w14:textId="77777777" w:rsidR="004B6F45" w:rsidRPr="004B6F45" w:rsidRDefault="004B6F45" w:rsidP="004B6F45">
      <w:pPr>
        <w:pStyle w:val="Prrafodelista"/>
        <w:numPr>
          <w:ilvl w:val="0"/>
          <w:numId w:val="4"/>
        </w:numPr>
        <w:jc w:val="both"/>
        <w:rPr>
          <w:rFonts w:ascii="Times New Roman" w:hAnsi="Times New Roman" w:cs="Times New Roman"/>
        </w:rPr>
      </w:pPr>
      <w:r w:rsidRPr="004B6F45">
        <w:rPr>
          <w:rFonts w:ascii="Times New Roman" w:hAnsi="Times New Roman" w:cs="Times New Roman"/>
        </w:rPr>
        <w:t>Tarjetas de crédito</w:t>
      </w:r>
    </w:p>
    <w:p w14:paraId="236F9372" w14:textId="39BEE2AC" w:rsidR="00DB3587" w:rsidRPr="00DB3587" w:rsidRDefault="00DB3587" w:rsidP="00DB3587">
      <w:pPr>
        <w:spacing w:before="100" w:beforeAutospacing="1" w:after="100" w:afterAutospacing="1" w:line="240" w:lineRule="auto"/>
        <w:ind w:left="720"/>
        <w:jc w:val="center"/>
        <w:rPr>
          <w:rFonts w:ascii="Times New Roman" w:eastAsia="Times New Roman" w:hAnsi="Times New Roman" w:cs="Times New Roman"/>
          <w:kern w:val="0"/>
          <w:lang w:eastAsia="es-DO"/>
          <w14:ligatures w14:val="none"/>
        </w:rPr>
      </w:pPr>
      <w:r w:rsidRPr="00DB3587">
        <w:rPr>
          <w:noProof/>
          <w:lang w:eastAsia="es-DO"/>
        </w:rPr>
        <w:drawing>
          <wp:inline distT="0" distB="0" distL="0" distR="0" wp14:anchorId="310B8EBC" wp14:editId="15C77D2C">
            <wp:extent cx="3940175" cy="3514725"/>
            <wp:effectExtent l="0" t="0" r="3175" b="9525"/>
            <wp:docPr id="1684140841" name="Imagen 1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0841" name="Imagen 11" descr="Gráfico, Gráfico circular&#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t="14563" b="13782"/>
                    <a:stretch/>
                  </pic:blipFill>
                  <pic:spPr bwMode="auto">
                    <a:xfrm>
                      <a:off x="0" y="0"/>
                      <a:ext cx="3944778" cy="3518831"/>
                    </a:xfrm>
                    <a:prstGeom prst="rect">
                      <a:avLst/>
                    </a:prstGeom>
                    <a:noFill/>
                    <a:ln>
                      <a:noFill/>
                    </a:ln>
                    <a:extLst>
                      <a:ext uri="{53640926-AAD7-44D8-BBD7-CCE9431645EC}">
                        <a14:shadowObscured xmlns:a14="http://schemas.microsoft.com/office/drawing/2010/main"/>
                      </a:ext>
                    </a:extLst>
                  </pic:spPr>
                </pic:pic>
              </a:graphicData>
            </a:graphic>
          </wp:inline>
        </w:drawing>
      </w:r>
    </w:p>
    <w:p w14:paraId="14183415" w14:textId="694A1E05" w:rsidR="004B6F45" w:rsidRPr="004B6F45" w:rsidRDefault="004B6F45" w:rsidP="00DB3587">
      <w:pPr>
        <w:jc w:val="center"/>
        <w:rPr>
          <w:rFonts w:ascii="Times New Roman" w:hAnsi="Times New Roman" w:cs="Times New Roman"/>
        </w:rPr>
      </w:pPr>
      <w:r w:rsidRPr="004B6F45">
        <w:rPr>
          <w:rFonts w:ascii="Times New Roman" w:hAnsi="Times New Roman" w:cs="Times New Roman"/>
        </w:rPr>
        <w:t>Aunque los valores parecen similares en proporción, la morosidad en tarjetas y consumo tiende a ser más volátil y debe monitorearse con mayor detalle.</w:t>
      </w:r>
    </w:p>
    <w:p w14:paraId="02CB14F0" w14:textId="77777777" w:rsidR="004B6F45" w:rsidRPr="004B6F45" w:rsidRDefault="004B6F45" w:rsidP="004B6F45">
      <w:pPr>
        <w:jc w:val="both"/>
        <w:rPr>
          <w:rFonts w:ascii="Times New Roman" w:hAnsi="Times New Roman" w:cs="Times New Roman"/>
        </w:rPr>
      </w:pPr>
    </w:p>
    <w:p w14:paraId="36746AC9" w14:textId="72B1D37B" w:rsidR="004B6F45" w:rsidRPr="004B6F45" w:rsidRDefault="004B6F45" w:rsidP="00DB3587">
      <w:pPr>
        <w:pStyle w:val="Ttulo2"/>
        <w:ind w:left="1350" w:hanging="540"/>
        <w:rPr>
          <w:color w:val="074F6A" w:themeColor="accent4" w:themeShade="80"/>
        </w:rPr>
      </w:pPr>
      <w:r w:rsidRPr="004B6F45">
        <w:rPr>
          <w:color w:val="074F6A" w:themeColor="accent4" w:themeShade="80"/>
        </w:rPr>
        <w:t>Número de Entidades Activas</w:t>
      </w:r>
    </w:p>
    <w:p w14:paraId="2B317517"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Durante el período 2022-2023, el número de bancos múltiples activos se mantuvo </w:t>
      </w:r>
      <w:r w:rsidRPr="004B6F45">
        <w:rPr>
          <w:rFonts w:ascii="Times New Roman" w:hAnsi="Times New Roman" w:cs="Times New Roman"/>
          <w:b/>
          <w:bCs/>
        </w:rPr>
        <w:t>constante en 18</w:t>
      </w:r>
      <w:r w:rsidRPr="004B6F45">
        <w:rPr>
          <w:rFonts w:ascii="Times New Roman" w:hAnsi="Times New Roman" w:cs="Times New Roman"/>
        </w:rPr>
        <w:t xml:space="preserve">, reflejando una </w:t>
      </w:r>
      <w:r w:rsidRPr="004B6F45">
        <w:rPr>
          <w:rFonts w:ascii="Times New Roman" w:hAnsi="Times New Roman" w:cs="Times New Roman"/>
          <w:b/>
          <w:bCs/>
        </w:rPr>
        <w:t>estructura financiera estable</w:t>
      </w:r>
      <w:r w:rsidRPr="004B6F45">
        <w:rPr>
          <w:rFonts w:ascii="Times New Roman" w:hAnsi="Times New Roman" w:cs="Times New Roman"/>
        </w:rPr>
        <w:t>, sin fusiones ni salidas relevantes.</w:t>
      </w:r>
    </w:p>
    <w:p w14:paraId="0E4F908D" w14:textId="77777777" w:rsidR="004B6F45" w:rsidRPr="004B6F45" w:rsidRDefault="004B6F45" w:rsidP="004B6F45">
      <w:pPr>
        <w:jc w:val="both"/>
        <w:rPr>
          <w:rFonts w:ascii="Times New Roman" w:hAnsi="Times New Roman" w:cs="Times New Roman"/>
        </w:rPr>
      </w:pPr>
    </w:p>
    <w:p w14:paraId="6C9882DD" w14:textId="2B0AFC56" w:rsidR="004B6F45" w:rsidRPr="004B6F45" w:rsidRDefault="004B6F45" w:rsidP="00DB3587">
      <w:pPr>
        <w:pStyle w:val="Ttulo2"/>
        <w:ind w:left="1350" w:hanging="540"/>
        <w:rPr>
          <w:color w:val="074F6A" w:themeColor="accent4" w:themeShade="80"/>
        </w:rPr>
      </w:pPr>
      <w:r w:rsidRPr="004B6F45">
        <w:rPr>
          <w:color w:val="074F6A" w:themeColor="accent4" w:themeShade="80"/>
        </w:rPr>
        <w:t>Entidad con Mayor Crecimiento</w:t>
      </w:r>
    </w:p>
    <w:p w14:paraId="272A4108" w14:textId="7A753ADF"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Entre las entidades evaluadas, </w:t>
      </w:r>
      <w:r w:rsidRPr="004B6F45">
        <w:rPr>
          <w:rFonts w:ascii="Times New Roman" w:hAnsi="Times New Roman" w:cs="Times New Roman"/>
          <w:b/>
          <w:bCs/>
        </w:rPr>
        <w:t>QIK Banco Digital Dominicano</w:t>
      </w:r>
      <w:r w:rsidRPr="004B6F45">
        <w:rPr>
          <w:rFonts w:ascii="Times New Roman" w:hAnsi="Times New Roman" w:cs="Times New Roman"/>
        </w:rPr>
        <w:t xml:space="preserve"> fue la que mostró el </w:t>
      </w:r>
      <w:r w:rsidRPr="004B6F45">
        <w:rPr>
          <w:rFonts w:ascii="Times New Roman" w:hAnsi="Times New Roman" w:cs="Times New Roman"/>
          <w:b/>
          <w:bCs/>
        </w:rPr>
        <w:t>mayor crecimiento porcentual</w:t>
      </w:r>
      <w:r w:rsidRPr="004B6F45">
        <w:rPr>
          <w:rFonts w:ascii="Times New Roman" w:hAnsi="Times New Roman" w:cs="Times New Roman"/>
        </w:rPr>
        <w:t xml:space="preserve"> en su cartera. Este avance puede atribuirse a su enfoque centrado en canales digitales, menores costos operativos y atracción de clientes jóvenes o no bancarizados.</w:t>
      </w:r>
    </w:p>
    <w:p w14:paraId="7B0F15BC" w14:textId="5F7F4363" w:rsidR="004B6F45" w:rsidRPr="004B6F45" w:rsidRDefault="004B6F45" w:rsidP="00DB3587">
      <w:pPr>
        <w:pStyle w:val="Ttulo2"/>
        <w:ind w:left="1350" w:hanging="540"/>
        <w:rPr>
          <w:color w:val="074F6A" w:themeColor="accent4" w:themeShade="80"/>
        </w:rPr>
      </w:pPr>
      <w:r w:rsidRPr="004B6F45">
        <w:rPr>
          <w:color w:val="074F6A" w:themeColor="accent4" w:themeShade="80"/>
        </w:rPr>
        <w:lastRenderedPageBreak/>
        <w:t>Morosidad General</w:t>
      </w:r>
    </w:p>
    <w:p w14:paraId="0CC1C749"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A pesar de los desafíos económicos, la morosidad se mantuvo </w:t>
      </w:r>
      <w:r w:rsidRPr="004B6F45">
        <w:rPr>
          <w:rFonts w:ascii="Times New Roman" w:hAnsi="Times New Roman" w:cs="Times New Roman"/>
          <w:b/>
          <w:bCs/>
        </w:rPr>
        <w:t>baja en términos generales</w:t>
      </w:r>
      <w:r w:rsidRPr="004B6F45">
        <w:rPr>
          <w:rFonts w:ascii="Times New Roman" w:hAnsi="Times New Roman" w:cs="Times New Roman"/>
        </w:rPr>
        <w:t xml:space="preserve">. Sin embargo, los productos </w:t>
      </w:r>
      <w:r w:rsidRPr="004B6F45">
        <w:rPr>
          <w:rFonts w:ascii="Times New Roman" w:hAnsi="Times New Roman" w:cs="Times New Roman"/>
          <w:b/>
          <w:bCs/>
        </w:rPr>
        <w:t>de consumo y tarjetas</w:t>
      </w:r>
      <w:r w:rsidRPr="004B6F45">
        <w:rPr>
          <w:rFonts w:ascii="Times New Roman" w:hAnsi="Times New Roman" w:cs="Times New Roman"/>
        </w:rPr>
        <w:t xml:space="preserve"> mostraron un leve aumento hacia finales del 2023, lo que requiere monitoreo para evitar deterioro en la calidad de la cartera.</w:t>
      </w:r>
    </w:p>
    <w:p w14:paraId="138EBAD2" w14:textId="77777777" w:rsidR="004B6F45" w:rsidRPr="004B6F45" w:rsidRDefault="004B6F45" w:rsidP="004B6F45">
      <w:pPr>
        <w:jc w:val="both"/>
        <w:rPr>
          <w:rFonts w:ascii="Times New Roman" w:hAnsi="Times New Roman" w:cs="Times New Roman"/>
        </w:rPr>
      </w:pPr>
    </w:p>
    <w:p w14:paraId="05179E95" w14:textId="30490621" w:rsidR="004B6F45" w:rsidRPr="004B6F45" w:rsidRDefault="004B6F45" w:rsidP="00DB3587">
      <w:pPr>
        <w:pStyle w:val="Ttulo2"/>
        <w:ind w:left="1350" w:hanging="540"/>
        <w:rPr>
          <w:color w:val="074F6A" w:themeColor="accent4" w:themeShade="80"/>
        </w:rPr>
      </w:pPr>
      <w:r w:rsidRPr="004B6F45">
        <w:rPr>
          <w:color w:val="074F6A" w:themeColor="accent4" w:themeShade="80"/>
        </w:rPr>
        <w:t>Entidades Más Relevantes por Cartera</w:t>
      </w:r>
    </w:p>
    <w:p w14:paraId="762B7A7D"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Las cinco entidades que lideran en términos de </w:t>
      </w:r>
      <w:r w:rsidRPr="004B6F45">
        <w:rPr>
          <w:rFonts w:ascii="Times New Roman" w:hAnsi="Times New Roman" w:cs="Times New Roman"/>
          <w:b/>
          <w:bCs/>
        </w:rPr>
        <w:t>cartera total</w:t>
      </w:r>
      <w:r w:rsidRPr="004B6F45">
        <w:rPr>
          <w:rFonts w:ascii="Times New Roman" w:hAnsi="Times New Roman" w:cs="Times New Roman"/>
        </w:rPr>
        <w:t xml:space="preserve"> al cierre del 2023 son:</w:t>
      </w:r>
    </w:p>
    <w:p w14:paraId="7D070EBC"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QIK Banco Digital</w:t>
      </w:r>
    </w:p>
    <w:p w14:paraId="12CD2FEC"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 xml:space="preserve">Banco </w:t>
      </w:r>
      <w:proofErr w:type="spellStart"/>
      <w:r w:rsidRPr="004B6F45">
        <w:rPr>
          <w:rFonts w:ascii="Times New Roman" w:hAnsi="Times New Roman" w:cs="Times New Roman"/>
          <w:b/>
          <w:bCs/>
        </w:rPr>
        <w:t>Ademi</w:t>
      </w:r>
      <w:proofErr w:type="spellEnd"/>
    </w:p>
    <w:p w14:paraId="64B41A51"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Banco Popular Dominicano</w:t>
      </w:r>
    </w:p>
    <w:p w14:paraId="6C628E5C"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Scotiabank</w:t>
      </w:r>
    </w:p>
    <w:p w14:paraId="1BFC3FB5" w14:textId="77777777" w:rsidR="004B6F45" w:rsidRPr="004B6F45" w:rsidRDefault="004B6F45" w:rsidP="004B6F45">
      <w:pPr>
        <w:pStyle w:val="Prrafodelista"/>
        <w:numPr>
          <w:ilvl w:val="0"/>
          <w:numId w:val="6"/>
        </w:numPr>
        <w:jc w:val="both"/>
        <w:rPr>
          <w:rFonts w:ascii="Times New Roman" w:hAnsi="Times New Roman" w:cs="Times New Roman"/>
        </w:rPr>
      </w:pPr>
      <w:r w:rsidRPr="004B6F45">
        <w:rPr>
          <w:rFonts w:ascii="Times New Roman" w:hAnsi="Times New Roman" w:cs="Times New Roman"/>
          <w:b/>
          <w:bCs/>
        </w:rPr>
        <w:t>Banco BHD León</w:t>
      </w:r>
    </w:p>
    <w:p w14:paraId="3724C5F7"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Estas entidades concentran una parte significativa del crédito nacional, impulsando gran parte de la actividad bancaria en el país.</w:t>
      </w:r>
    </w:p>
    <w:p w14:paraId="4E93E899" w14:textId="77777777" w:rsidR="004B6F45" w:rsidRDefault="004B6F45" w:rsidP="004B6F45">
      <w:pPr>
        <w:jc w:val="both"/>
        <w:rPr>
          <w:rFonts w:ascii="Times New Roman" w:hAnsi="Times New Roman" w:cs="Times New Roman"/>
          <w:sz w:val="6"/>
          <w:szCs w:val="6"/>
        </w:rPr>
      </w:pPr>
    </w:p>
    <w:p w14:paraId="356AD2C1" w14:textId="77777777" w:rsidR="00395860" w:rsidRDefault="00395860" w:rsidP="004B6F45">
      <w:pPr>
        <w:jc w:val="both"/>
        <w:rPr>
          <w:rFonts w:ascii="Times New Roman" w:hAnsi="Times New Roman" w:cs="Times New Roman"/>
          <w:sz w:val="6"/>
          <w:szCs w:val="6"/>
        </w:rPr>
      </w:pPr>
    </w:p>
    <w:p w14:paraId="26BBC9E1" w14:textId="77777777" w:rsidR="00395860" w:rsidRDefault="00395860" w:rsidP="004B6F45">
      <w:pPr>
        <w:jc w:val="both"/>
        <w:rPr>
          <w:rFonts w:ascii="Times New Roman" w:hAnsi="Times New Roman" w:cs="Times New Roman"/>
          <w:sz w:val="6"/>
          <w:szCs w:val="6"/>
        </w:rPr>
      </w:pPr>
    </w:p>
    <w:p w14:paraId="630E5B20" w14:textId="77777777" w:rsidR="00395860" w:rsidRPr="00395860" w:rsidRDefault="00395860" w:rsidP="004B6F45">
      <w:pPr>
        <w:jc w:val="both"/>
        <w:rPr>
          <w:rFonts w:ascii="Times New Roman" w:hAnsi="Times New Roman" w:cs="Times New Roman"/>
          <w:sz w:val="6"/>
          <w:szCs w:val="6"/>
        </w:rPr>
      </w:pPr>
    </w:p>
    <w:p w14:paraId="55B0A450" w14:textId="77777777" w:rsidR="00395860" w:rsidRPr="00395860" w:rsidRDefault="00395860" w:rsidP="004B6F45">
      <w:pPr>
        <w:jc w:val="both"/>
        <w:rPr>
          <w:rFonts w:ascii="Times New Roman" w:hAnsi="Times New Roman" w:cs="Times New Roman"/>
          <w:sz w:val="16"/>
          <w:szCs w:val="16"/>
        </w:rPr>
      </w:pPr>
    </w:p>
    <w:p w14:paraId="432748CE" w14:textId="3EC503E9" w:rsidR="00E963AD" w:rsidRPr="00E963AD" w:rsidRDefault="00E963AD" w:rsidP="00E963AD">
      <w:pPr>
        <w:pStyle w:val="Ttulo1"/>
        <w:rPr>
          <w:color w:val="074F6A" w:themeColor="accent4" w:themeShade="80"/>
        </w:rPr>
      </w:pPr>
      <w:r w:rsidRPr="00E963AD">
        <w:rPr>
          <w:color w:val="074F6A" w:themeColor="accent4" w:themeShade="80"/>
        </w:rPr>
        <w:t>Respuesta a consultas específicas del análisis</w:t>
      </w:r>
    </w:p>
    <w:p w14:paraId="5520E492" w14:textId="77777777" w:rsidR="00E963AD" w:rsidRDefault="00E963AD" w:rsidP="00E963AD">
      <w:pPr>
        <w:jc w:val="both"/>
        <w:rPr>
          <w:rFonts w:ascii="Times New Roman" w:hAnsi="Times New Roman" w:cs="Times New Roman"/>
        </w:rPr>
      </w:pPr>
      <w:r w:rsidRPr="00E963AD">
        <w:rPr>
          <w:rFonts w:ascii="Times New Roman" w:hAnsi="Times New Roman" w:cs="Times New Roman"/>
        </w:rPr>
        <w:t>En esta sección se da respuesta a una serie de preguntas planteadas por los supervisores del análisis, con el objetivo de profundizar en el comportamiento y desempeño de las entidades financieras evaluadas. A continuación, se detallan las respuestas obtenidas con base en el tratamiento y visualización de los datos disponibles para los años 2022 y 2023:</w:t>
      </w:r>
    </w:p>
    <w:p w14:paraId="29A8D0BF" w14:textId="77777777" w:rsidR="00395860" w:rsidRPr="00E963AD" w:rsidRDefault="00395860" w:rsidP="00E963AD">
      <w:pPr>
        <w:jc w:val="both"/>
        <w:rPr>
          <w:rFonts w:ascii="Times New Roman" w:hAnsi="Times New Roman" w:cs="Times New Roman"/>
        </w:rPr>
      </w:pPr>
    </w:p>
    <w:p w14:paraId="7F59189B" w14:textId="77777777" w:rsidR="00E963AD" w:rsidRPr="00E963AD" w:rsidRDefault="00E963AD" w:rsidP="00E963AD">
      <w:pPr>
        <w:pStyle w:val="Prrafodelista"/>
        <w:numPr>
          <w:ilvl w:val="0"/>
          <w:numId w:val="10"/>
        </w:numPr>
        <w:tabs>
          <w:tab w:val="left" w:pos="1350"/>
        </w:tabs>
        <w:spacing w:before="240"/>
        <w:contextualSpacing w:val="0"/>
        <w:outlineLvl w:val="1"/>
        <w:rPr>
          <w:rFonts w:ascii="Times New Roman" w:hAnsi="Times New Roman" w:cs="Times New Roman"/>
          <w:b/>
          <w:bCs/>
          <w:vanish/>
          <w:color w:val="074F6A" w:themeColor="accent4" w:themeShade="80"/>
          <w:sz w:val="32"/>
          <w:szCs w:val="32"/>
        </w:rPr>
      </w:pPr>
    </w:p>
    <w:p w14:paraId="2D9E89E7" w14:textId="1C8D99FC" w:rsidR="00E963AD" w:rsidRPr="00E963AD" w:rsidRDefault="00E963AD" w:rsidP="00E963AD">
      <w:pPr>
        <w:pStyle w:val="Ttulo2"/>
        <w:rPr>
          <w:color w:val="074F6A" w:themeColor="accent4" w:themeShade="80"/>
          <w:sz w:val="28"/>
          <w:szCs w:val="28"/>
        </w:rPr>
      </w:pPr>
      <w:r w:rsidRPr="00E963AD">
        <w:rPr>
          <w:color w:val="074F6A" w:themeColor="accent4" w:themeShade="80"/>
          <w:sz w:val="28"/>
          <w:szCs w:val="28"/>
        </w:rPr>
        <w:t>¿Cuántas entidades se están evaluando?</w:t>
      </w:r>
    </w:p>
    <w:p w14:paraId="69ED97CB" w14:textId="733EBC19" w:rsidR="00E963AD" w:rsidRPr="00E963AD" w:rsidRDefault="00E963AD" w:rsidP="00E963AD">
      <w:pPr>
        <w:jc w:val="both"/>
        <w:rPr>
          <w:rFonts w:ascii="Times New Roman" w:hAnsi="Times New Roman" w:cs="Times New Roman"/>
        </w:rPr>
      </w:pPr>
      <w:r w:rsidRPr="00E963AD">
        <w:rPr>
          <w:rFonts w:ascii="Times New Roman" w:hAnsi="Times New Roman" w:cs="Times New Roman"/>
        </w:rPr>
        <w:t xml:space="preserve">Se evaluaron un total de </w:t>
      </w:r>
      <w:r w:rsidRPr="00E963AD">
        <w:rPr>
          <w:rFonts w:ascii="Times New Roman" w:hAnsi="Times New Roman" w:cs="Times New Roman"/>
          <w:b/>
          <w:bCs/>
        </w:rPr>
        <w:t>18 entidades</w:t>
      </w:r>
      <w:r w:rsidRPr="00E963AD">
        <w:rPr>
          <w:rFonts w:ascii="Times New Roman" w:hAnsi="Times New Roman" w:cs="Times New Roman"/>
        </w:rPr>
        <w:t xml:space="preserve"> financieras, excluyendo el valor agregado de "TODOS".</w:t>
      </w:r>
    </w:p>
    <w:p w14:paraId="7E891632" w14:textId="6C2576E5" w:rsidR="00E963AD" w:rsidRPr="00E963AD" w:rsidRDefault="00E963AD" w:rsidP="00E963AD">
      <w:pPr>
        <w:pStyle w:val="Ttulo2"/>
        <w:rPr>
          <w:color w:val="074F6A" w:themeColor="accent4" w:themeShade="80"/>
          <w:sz w:val="28"/>
          <w:szCs w:val="28"/>
        </w:rPr>
      </w:pPr>
      <w:r w:rsidRPr="00E963AD">
        <w:rPr>
          <w:color w:val="074F6A" w:themeColor="accent4" w:themeShade="80"/>
          <w:sz w:val="28"/>
          <w:szCs w:val="28"/>
        </w:rPr>
        <w:t>¿Cuál entidad ha evolucionado más a nivel de monto de cartera?</w:t>
      </w:r>
    </w:p>
    <w:p w14:paraId="5AE53005" w14:textId="651CAE50" w:rsidR="00E963AD" w:rsidRPr="00E963AD" w:rsidRDefault="00E963AD" w:rsidP="00E963AD">
      <w:pPr>
        <w:jc w:val="both"/>
        <w:rPr>
          <w:rFonts w:ascii="Times New Roman" w:hAnsi="Times New Roman" w:cs="Times New Roman"/>
        </w:rPr>
      </w:pPr>
      <w:r w:rsidRPr="00E963AD">
        <w:rPr>
          <w:rFonts w:ascii="Times New Roman" w:hAnsi="Times New Roman" w:cs="Times New Roman"/>
        </w:rPr>
        <w:t xml:space="preserve">La entidad con mayor crecimiento en su cartera total fue </w:t>
      </w:r>
      <w:r w:rsidRPr="00E963AD">
        <w:rPr>
          <w:rFonts w:ascii="Times New Roman" w:hAnsi="Times New Roman" w:cs="Times New Roman"/>
          <w:b/>
          <w:bCs/>
        </w:rPr>
        <w:t>QIK Banco Digital</w:t>
      </w:r>
      <w:r w:rsidRPr="00E963AD">
        <w:rPr>
          <w:rFonts w:ascii="Times New Roman" w:hAnsi="Times New Roman" w:cs="Times New Roman"/>
        </w:rPr>
        <w:t>, acumulando un total de RD$17,041 millones.</w:t>
      </w:r>
    </w:p>
    <w:p w14:paraId="5460519D" w14:textId="0E27DB11" w:rsidR="00E963AD" w:rsidRPr="00E963AD" w:rsidRDefault="00E963AD" w:rsidP="00E963AD">
      <w:pPr>
        <w:pStyle w:val="Ttulo2"/>
        <w:rPr>
          <w:color w:val="074F6A" w:themeColor="accent4" w:themeShade="80"/>
          <w:sz w:val="28"/>
          <w:szCs w:val="28"/>
        </w:rPr>
      </w:pPr>
      <w:r w:rsidRPr="00E963AD">
        <w:rPr>
          <w:color w:val="074F6A" w:themeColor="accent4" w:themeShade="80"/>
          <w:sz w:val="28"/>
          <w:szCs w:val="28"/>
        </w:rPr>
        <w:t>Análisis de clasificación de riesgo</w:t>
      </w:r>
      <w:r w:rsidRPr="00E963AD">
        <w:rPr>
          <w:color w:val="074F6A" w:themeColor="accent4" w:themeShade="80"/>
          <w:sz w:val="28"/>
          <w:szCs w:val="28"/>
        </w:rPr>
        <w:t xml:space="preserve"> </w:t>
      </w:r>
    </w:p>
    <w:p w14:paraId="25701186" w14:textId="04E95AAA" w:rsidR="00E963AD" w:rsidRPr="00E963AD" w:rsidRDefault="00E963AD" w:rsidP="00E963AD">
      <w:pPr>
        <w:jc w:val="both"/>
        <w:rPr>
          <w:rFonts w:ascii="Times New Roman" w:hAnsi="Times New Roman" w:cs="Times New Roman"/>
        </w:rPr>
      </w:pPr>
      <w:r w:rsidRPr="00E963AD">
        <w:rPr>
          <w:rFonts w:ascii="Times New Roman" w:hAnsi="Times New Roman" w:cs="Times New Roman"/>
        </w:rPr>
        <w:t>No se encontró información suficiente en la base de datos para realizar un análisis de clasificación de riesgo por entidad (los datos filtrados resultaron vacíos).</w:t>
      </w:r>
    </w:p>
    <w:p w14:paraId="6B65B14D" w14:textId="023C856F" w:rsidR="00E963AD" w:rsidRPr="00E963AD" w:rsidRDefault="00E963AD" w:rsidP="00E963AD">
      <w:pPr>
        <w:pStyle w:val="Ttulo2"/>
        <w:rPr>
          <w:color w:val="074F6A" w:themeColor="accent4" w:themeShade="80"/>
          <w:sz w:val="28"/>
          <w:szCs w:val="28"/>
        </w:rPr>
      </w:pPr>
      <w:r w:rsidRPr="00E963AD">
        <w:rPr>
          <w:color w:val="074F6A" w:themeColor="accent4" w:themeShade="80"/>
          <w:sz w:val="28"/>
          <w:szCs w:val="28"/>
        </w:rPr>
        <w:lastRenderedPageBreak/>
        <w:t>Morosidad general por entidad</w:t>
      </w:r>
    </w:p>
    <w:p w14:paraId="575D161F" w14:textId="0747DFE9" w:rsidR="00E963AD" w:rsidRPr="00E963AD" w:rsidRDefault="00E963AD" w:rsidP="00E963AD">
      <w:pPr>
        <w:jc w:val="both"/>
        <w:rPr>
          <w:rFonts w:ascii="Times New Roman" w:hAnsi="Times New Roman" w:cs="Times New Roman"/>
        </w:rPr>
      </w:pPr>
      <w:r w:rsidRPr="00E963AD">
        <w:rPr>
          <w:rFonts w:ascii="Times New Roman" w:hAnsi="Times New Roman" w:cs="Times New Roman"/>
        </w:rPr>
        <w:t>Se calculó la morosidad como el cociente entre la deuda vencida y la deuda total por entidad. Las entidades con mayor morosidad fueron:</w:t>
      </w:r>
    </w:p>
    <w:p w14:paraId="2926984D" w14:textId="77777777" w:rsidR="00E963AD" w:rsidRPr="00E963AD" w:rsidRDefault="00E963AD" w:rsidP="00E963AD">
      <w:pPr>
        <w:pStyle w:val="Prrafodelista"/>
        <w:numPr>
          <w:ilvl w:val="0"/>
          <w:numId w:val="29"/>
        </w:numPr>
        <w:jc w:val="both"/>
        <w:rPr>
          <w:rFonts w:ascii="Times New Roman" w:hAnsi="Times New Roman" w:cs="Times New Roman"/>
        </w:rPr>
      </w:pPr>
      <w:r w:rsidRPr="00E963AD">
        <w:rPr>
          <w:rFonts w:ascii="Times New Roman" w:hAnsi="Times New Roman" w:cs="Times New Roman"/>
          <w:b/>
          <w:bCs/>
        </w:rPr>
        <w:t>BANRESERVAS</w:t>
      </w:r>
      <w:r w:rsidRPr="00E963AD">
        <w:rPr>
          <w:rFonts w:ascii="Times New Roman" w:hAnsi="Times New Roman" w:cs="Times New Roman"/>
        </w:rPr>
        <w:t xml:space="preserve"> (5.23)</w:t>
      </w:r>
    </w:p>
    <w:p w14:paraId="48AD912C" w14:textId="77777777" w:rsidR="00E963AD" w:rsidRPr="00E963AD" w:rsidRDefault="00E963AD" w:rsidP="00E963AD">
      <w:pPr>
        <w:pStyle w:val="Prrafodelista"/>
        <w:numPr>
          <w:ilvl w:val="0"/>
          <w:numId w:val="29"/>
        </w:numPr>
        <w:jc w:val="both"/>
        <w:rPr>
          <w:rFonts w:ascii="Times New Roman" w:hAnsi="Times New Roman" w:cs="Times New Roman"/>
        </w:rPr>
      </w:pPr>
      <w:r w:rsidRPr="00E963AD">
        <w:rPr>
          <w:rFonts w:ascii="Times New Roman" w:hAnsi="Times New Roman" w:cs="Times New Roman"/>
          <w:b/>
          <w:bCs/>
        </w:rPr>
        <w:t>LAFISE</w:t>
      </w:r>
      <w:r w:rsidRPr="00E963AD">
        <w:rPr>
          <w:rFonts w:ascii="Times New Roman" w:hAnsi="Times New Roman" w:cs="Times New Roman"/>
        </w:rPr>
        <w:t xml:space="preserve"> (4.58)</w:t>
      </w:r>
    </w:p>
    <w:p w14:paraId="1D747178" w14:textId="77777777" w:rsidR="00E963AD" w:rsidRPr="00E963AD" w:rsidRDefault="00E963AD" w:rsidP="00E963AD">
      <w:pPr>
        <w:pStyle w:val="Prrafodelista"/>
        <w:numPr>
          <w:ilvl w:val="0"/>
          <w:numId w:val="29"/>
        </w:numPr>
        <w:jc w:val="both"/>
        <w:rPr>
          <w:rFonts w:ascii="Times New Roman" w:hAnsi="Times New Roman" w:cs="Times New Roman"/>
        </w:rPr>
      </w:pPr>
      <w:r w:rsidRPr="00E963AD">
        <w:rPr>
          <w:rFonts w:ascii="Times New Roman" w:hAnsi="Times New Roman" w:cs="Times New Roman"/>
          <w:b/>
          <w:bCs/>
        </w:rPr>
        <w:t>QIK Banco Digital</w:t>
      </w:r>
      <w:r w:rsidRPr="00E963AD">
        <w:rPr>
          <w:rFonts w:ascii="Times New Roman" w:hAnsi="Times New Roman" w:cs="Times New Roman"/>
        </w:rPr>
        <w:t xml:space="preserve"> (2.98)</w:t>
      </w:r>
      <w:r w:rsidRPr="00E963AD">
        <w:rPr>
          <w:rFonts w:ascii="Times New Roman" w:hAnsi="Times New Roman" w:cs="Times New Roman"/>
        </w:rPr>
        <w:t xml:space="preserve"> </w:t>
      </w:r>
    </w:p>
    <w:p w14:paraId="45A71E99" w14:textId="05871CF3" w:rsidR="00E963AD" w:rsidRPr="00E963AD" w:rsidRDefault="00E963AD" w:rsidP="00E963AD">
      <w:pPr>
        <w:jc w:val="both"/>
        <w:rPr>
          <w:rFonts w:ascii="Times New Roman" w:hAnsi="Times New Roman" w:cs="Times New Roman"/>
        </w:rPr>
      </w:pPr>
      <w:r w:rsidRPr="00E963AD">
        <w:rPr>
          <w:rFonts w:ascii="Times New Roman" w:hAnsi="Times New Roman" w:cs="Times New Roman"/>
        </w:rPr>
        <w:t xml:space="preserve">Mientras que la menor morosidad se observó en </w:t>
      </w:r>
      <w:r w:rsidRPr="00E963AD">
        <w:rPr>
          <w:rFonts w:ascii="Times New Roman" w:hAnsi="Times New Roman" w:cs="Times New Roman"/>
          <w:b/>
          <w:bCs/>
        </w:rPr>
        <w:t>CITIBANK</w:t>
      </w:r>
      <w:r w:rsidRPr="00E963AD">
        <w:rPr>
          <w:rFonts w:ascii="Times New Roman" w:hAnsi="Times New Roman" w:cs="Times New Roman"/>
        </w:rPr>
        <w:t xml:space="preserve"> (0.35).</w:t>
      </w:r>
    </w:p>
    <w:p w14:paraId="55760352" w14:textId="15123E6A" w:rsidR="00E963AD" w:rsidRPr="00E963AD" w:rsidRDefault="00E963AD" w:rsidP="00E963AD">
      <w:pPr>
        <w:pStyle w:val="Ttulo2"/>
        <w:rPr>
          <w:color w:val="074F6A" w:themeColor="accent4" w:themeShade="80"/>
          <w:sz w:val="28"/>
          <w:szCs w:val="28"/>
        </w:rPr>
      </w:pPr>
      <w:r w:rsidRPr="00E963AD">
        <w:rPr>
          <w:color w:val="074F6A" w:themeColor="accent4" w:themeShade="80"/>
          <w:sz w:val="28"/>
          <w:szCs w:val="28"/>
        </w:rPr>
        <w:t>Morosidad por tipo de cartera (Hipotecarios, Consumo, Tarjetas, Comerciales)</w:t>
      </w:r>
      <w:r w:rsidRPr="00E963AD">
        <w:rPr>
          <w:color w:val="074F6A" w:themeColor="accent4" w:themeShade="80"/>
          <w:sz w:val="28"/>
          <w:szCs w:val="28"/>
        </w:rPr>
        <w:t xml:space="preserve"> </w:t>
      </w:r>
    </w:p>
    <w:p w14:paraId="374DB6B7" w14:textId="79E4BBDF" w:rsidR="00E963AD" w:rsidRPr="00E963AD" w:rsidRDefault="00E963AD" w:rsidP="00E963AD">
      <w:pPr>
        <w:jc w:val="both"/>
        <w:rPr>
          <w:rFonts w:ascii="Times New Roman" w:hAnsi="Times New Roman" w:cs="Times New Roman"/>
        </w:rPr>
      </w:pPr>
      <w:r w:rsidRPr="00E963AD">
        <w:rPr>
          <w:rFonts w:ascii="Times New Roman" w:hAnsi="Times New Roman" w:cs="Times New Roman"/>
        </w:rPr>
        <w:t>No se encontraron datos suficientes para calcular la morosidad desglosada por tipo de cartera y entidad. Sin embargo, se realizó un análisis global a diciembre de 2023, evidenciando las diferencias proporcionales entre tipos de cartera.</w:t>
      </w:r>
    </w:p>
    <w:p w14:paraId="74ADD66B" w14:textId="4C07AE6C" w:rsidR="00E963AD" w:rsidRPr="00E963AD" w:rsidRDefault="00E963AD" w:rsidP="00E963AD">
      <w:pPr>
        <w:pStyle w:val="Ttulo2"/>
        <w:rPr>
          <w:color w:val="074F6A" w:themeColor="accent4" w:themeShade="80"/>
          <w:sz w:val="28"/>
          <w:szCs w:val="28"/>
        </w:rPr>
      </w:pPr>
      <w:r w:rsidRPr="00E963AD">
        <w:rPr>
          <w:color w:val="074F6A" w:themeColor="accent4" w:themeShade="80"/>
          <w:sz w:val="28"/>
          <w:szCs w:val="28"/>
        </w:rPr>
        <w:t>Top 5 entidades por monto de cartera total</w:t>
      </w:r>
    </w:p>
    <w:p w14:paraId="3B6749DF" w14:textId="02195DAB" w:rsidR="00E963AD" w:rsidRPr="00E963AD" w:rsidRDefault="00E963AD" w:rsidP="00E963AD">
      <w:pPr>
        <w:jc w:val="both"/>
        <w:rPr>
          <w:rFonts w:ascii="Times New Roman" w:hAnsi="Times New Roman" w:cs="Times New Roman"/>
        </w:rPr>
      </w:pPr>
      <w:r w:rsidRPr="00E963AD">
        <w:rPr>
          <w:rFonts w:ascii="Times New Roman" w:hAnsi="Times New Roman" w:cs="Times New Roman"/>
        </w:rPr>
        <w:t>El ranking de entidades con mayor monto en cartera total es el siguiente:</w:t>
      </w:r>
    </w:p>
    <w:p w14:paraId="0489BD1E"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QIK Banco Digital</w:t>
      </w:r>
    </w:p>
    <w:p w14:paraId="3328D7DB"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ADEMI</w:t>
      </w:r>
    </w:p>
    <w:p w14:paraId="40EDA9A0"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POPULAR</w:t>
      </w:r>
    </w:p>
    <w:p w14:paraId="78913A62"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PROMERICA</w:t>
      </w:r>
    </w:p>
    <w:p w14:paraId="7679CAF1" w14:textId="77777777" w:rsidR="00E963AD" w:rsidRPr="00E963AD" w:rsidRDefault="00E963AD" w:rsidP="00E963AD">
      <w:pPr>
        <w:pStyle w:val="Prrafodelista"/>
        <w:numPr>
          <w:ilvl w:val="0"/>
          <w:numId w:val="30"/>
        </w:numPr>
        <w:jc w:val="both"/>
        <w:rPr>
          <w:rFonts w:ascii="Times New Roman" w:hAnsi="Times New Roman" w:cs="Times New Roman"/>
        </w:rPr>
      </w:pPr>
      <w:r w:rsidRPr="00E963AD">
        <w:rPr>
          <w:rFonts w:ascii="Times New Roman" w:hAnsi="Times New Roman" w:cs="Times New Roman"/>
        </w:rPr>
        <w:t>SCOTIABANK</w:t>
      </w:r>
    </w:p>
    <w:p w14:paraId="47A355BA" w14:textId="77777777" w:rsidR="00E963AD" w:rsidRDefault="00E963AD" w:rsidP="004B6F45">
      <w:pPr>
        <w:jc w:val="both"/>
        <w:rPr>
          <w:rFonts w:ascii="Times New Roman" w:hAnsi="Times New Roman" w:cs="Times New Roman"/>
        </w:rPr>
      </w:pPr>
    </w:p>
    <w:p w14:paraId="7BD2632D" w14:textId="77777777" w:rsidR="00E963AD" w:rsidRDefault="00E963AD" w:rsidP="004B6F45">
      <w:pPr>
        <w:jc w:val="both"/>
        <w:rPr>
          <w:rFonts w:ascii="Times New Roman" w:hAnsi="Times New Roman" w:cs="Times New Roman"/>
        </w:rPr>
      </w:pPr>
    </w:p>
    <w:p w14:paraId="281DE8E8" w14:textId="77777777" w:rsidR="00395860" w:rsidRDefault="00395860" w:rsidP="004B6F45">
      <w:pPr>
        <w:jc w:val="both"/>
        <w:rPr>
          <w:rFonts w:ascii="Times New Roman" w:hAnsi="Times New Roman" w:cs="Times New Roman"/>
        </w:rPr>
      </w:pPr>
    </w:p>
    <w:p w14:paraId="3852E7E9" w14:textId="77777777" w:rsidR="00395860" w:rsidRDefault="00395860" w:rsidP="004B6F45">
      <w:pPr>
        <w:jc w:val="both"/>
        <w:rPr>
          <w:rFonts w:ascii="Times New Roman" w:hAnsi="Times New Roman" w:cs="Times New Roman"/>
        </w:rPr>
      </w:pPr>
    </w:p>
    <w:p w14:paraId="5617BD8A" w14:textId="77777777" w:rsidR="00395860" w:rsidRDefault="00395860" w:rsidP="004B6F45">
      <w:pPr>
        <w:jc w:val="both"/>
        <w:rPr>
          <w:rFonts w:ascii="Times New Roman" w:hAnsi="Times New Roman" w:cs="Times New Roman"/>
        </w:rPr>
      </w:pPr>
    </w:p>
    <w:p w14:paraId="16DDC0DC" w14:textId="77777777" w:rsidR="00395860" w:rsidRDefault="00395860" w:rsidP="004B6F45">
      <w:pPr>
        <w:jc w:val="both"/>
        <w:rPr>
          <w:rFonts w:ascii="Times New Roman" w:hAnsi="Times New Roman" w:cs="Times New Roman"/>
        </w:rPr>
      </w:pPr>
    </w:p>
    <w:p w14:paraId="2D4A15B8" w14:textId="77777777" w:rsidR="00395860" w:rsidRDefault="00395860" w:rsidP="004B6F45">
      <w:pPr>
        <w:jc w:val="both"/>
        <w:rPr>
          <w:rFonts w:ascii="Times New Roman" w:hAnsi="Times New Roman" w:cs="Times New Roman"/>
        </w:rPr>
      </w:pPr>
    </w:p>
    <w:p w14:paraId="6292BAE0" w14:textId="77777777" w:rsidR="00395860" w:rsidRDefault="00395860" w:rsidP="004B6F45">
      <w:pPr>
        <w:jc w:val="both"/>
        <w:rPr>
          <w:rFonts w:ascii="Times New Roman" w:hAnsi="Times New Roman" w:cs="Times New Roman"/>
        </w:rPr>
      </w:pPr>
    </w:p>
    <w:p w14:paraId="61E06488" w14:textId="77777777" w:rsidR="00395860" w:rsidRDefault="00395860" w:rsidP="004B6F45">
      <w:pPr>
        <w:jc w:val="both"/>
        <w:rPr>
          <w:rFonts w:ascii="Times New Roman" w:hAnsi="Times New Roman" w:cs="Times New Roman"/>
        </w:rPr>
      </w:pPr>
    </w:p>
    <w:p w14:paraId="07EF6765" w14:textId="77777777" w:rsidR="00395860" w:rsidRDefault="00395860" w:rsidP="004B6F45">
      <w:pPr>
        <w:jc w:val="both"/>
        <w:rPr>
          <w:rFonts w:ascii="Times New Roman" w:hAnsi="Times New Roman" w:cs="Times New Roman"/>
        </w:rPr>
      </w:pPr>
    </w:p>
    <w:p w14:paraId="66E5F816" w14:textId="77777777" w:rsidR="00395860" w:rsidRDefault="00395860" w:rsidP="004B6F45">
      <w:pPr>
        <w:jc w:val="both"/>
        <w:rPr>
          <w:rFonts w:ascii="Times New Roman" w:hAnsi="Times New Roman" w:cs="Times New Roman"/>
        </w:rPr>
      </w:pPr>
    </w:p>
    <w:p w14:paraId="64E1D811" w14:textId="77777777" w:rsidR="00395860" w:rsidRDefault="00395860" w:rsidP="00395860">
      <w:pPr>
        <w:rPr>
          <w:rFonts w:ascii="Times New Roman" w:hAnsi="Times New Roman" w:cs="Times New Roman"/>
        </w:rPr>
      </w:pPr>
    </w:p>
    <w:p w14:paraId="5D46B6F1" w14:textId="77777777" w:rsidR="00087C5B" w:rsidRDefault="00087C5B" w:rsidP="00395860"/>
    <w:p w14:paraId="2C380C60" w14:textId="77777777" w:rsidR="00395860" w:rsidRPr="00395860" w:rsidRDefault="00395860" w:rsidP="00395860"/>
    <w:p w14:paraId="6DC03CF7" w14:textId="38CABD3B" w:rsidR="004B6F45" w:rsidRDefault="004B6F45" w:rsidP="00395860">
      <w:pPr>
        <w:pStyle w:val="Ttulo1"/>
        <w:numPr>
          <w:ilvl w:val="0"/>
          <w:numId w:val="0"/>
        </w:numPr>
        <w:ind w:left="720"/>
        <w:jc w:val="center"/>
        <w:rPr>
          <w:color w:val="074F6A" w:themeColor="accent4" w:themeShade="80"/>
        </w:rPr>
      </w:pPr>
      <w:r w:rsidRPr="004B6F45">
        <w:rPr>
          <w:color w:val="074F6A" w:themeColor="accent4" w:themeShade="80"/>
        </w:rPr>
        <w:t>Conclusiones</w:t>
      </w:r>
    </w:p>
    <w:p w14:paraId="0976D150" w14:textId="77777777" w:rsidR="00395860" w:rsidRDefault="00395860" w:rsidP="00395860"/>
    <w:p w14:paraId="7C78033A" w14:textId="77777777" w:rsidR="00087C5B" w:rsidRPr="00395860" w:rsidRDefault="00087C5B" w:rsidP="00395860"/>
    <w:p w14:paraId="02EFAF31"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Durante el período 2022-2023, el sistema bancario dominicano evidenció una </w:t>
      </w:r>
      <w:r w:rsidRPr="004B6F45">
        <w:rPr>
          <w:rFonts w:ascii="Times New Roman" w:hAnsi="Times New Roman" w:cs="Times New Roman"/>
          <w:b/>
          <w:bCs/>
        </w:rPr>
        <w:t>fortaleza estructural significativa</w:t>
      </w:r>
      <w:r w:rsidRPr="004B6F45">
        <w:rPr>
          <w:rFonts w:ascii="Times New Roman" w:hAnsi="Times New Roman" w:cs="Times New Roman"/>
        </w:rPr>
        <w:t xml:space="preserve">, con un comportamiento positivo en la </w:t>
      </w:r>
      <w:r w:rsidRPr="004B6F45">
        <w:rPr>
          <w:rFonts w:ascii="Times New Roman" w:hAnsi="Times New Roman" w:cs="Times New Roman"/>
          <w:b/>
          <w:bCs/>
        </w:rPr>
        <w:t>evolución de su cartera de crédito</w:t>
      </w:r>
      <w:r w:rsidRPr="004B6F45">
        <w:rPr>
          <w:rFonts w:ascii="Times New Roman" w:hAnsi="Times New Roman" w:cs="Times New Roman"/>
        </w:rPr>
        <w:t xml:space="preserve">. A pesar de un entorno económico regional desafiante, los bancos múltiples lograron mantener una </w:t>
      </w:r>
      <w:r w:rsidRPr="004B6F45">
        <w:rPr>
          <w:rFonts w:ascii="Times New Roman" w:hAnsi="Times New Roman" w:cs="Times New Roman"/>
          <w:b/>
          <w:bCs/>
        </w:rPr>
        <w:t>trayectoria ascendente</w:t>
      </w:r>
      <w:r w:rsidRPr="004B6F45">
        <w:rPr>
          <w:rFonts w:ascii="Times New Roman" w:hAnsi="Times New Roman" w:cs="Times New Roman"/>
        </w:rPr>
        <w:t xml:space="preserve">, con un </w:t>
      </w:r>
      <w:r w:rsidRPr="004B6F45">
        <w:rPr>
          <w:rFonts w:ascii="Times New Roman" w:hAnsi="Times New Roman" w:cs="Times New Roman"/>
          <w:b/>
          <w:bCs/>
        </w:rPr>
        <w:t>repunte notable en diciembre de 2022</w:t>
      </w:r>
      <w:r w:rsidRPr="004B6F45">
        <w:rPr>
          <w:rFonts w:ascii="Times New Roman" w:hAnsi="Times New Roman" w:cs="Times New Roman"/>
        </w:rPr>
        <w:t xml:space="preserve"> que marcó un punto clave en la expansión del crédito. Posteriormente, en 2023, la cartera se estabilizó en niveles superiores a los observados a inicios del período, lo que sugiere un proceso de consolidación en la colocación de préstamos.</w:t>
      </w:r>
    </w:p>
    <w:p w14:paraId="4020AE29"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Uno de los elementos más destacados fue el ascenso de </w:t>
      </w:r>
      <w:r w:rsidRPr="004B6F45">
        <w:rPr>
          <w:rFonts w:ascii="Times New Roman" w:hAnsi="Times New Roman" w:cs="Times New Roman"/>
          <w:b/>
          <w:bCs/>
        </w:rPr>
        <w:t>entidades financieras digitales</w:t>
      </w:r>
      <w:r w:rsidRPr="004B6F45">
        <w:rPr>
          <w:rFonts w:ascii="Times New Roman" w:hAnsi="Times New Roman" w:cs="Times New Roman"/>
        </w:rPr>
        <w:t xml:space="preserve">, especialmente </w:t>
      </w:r>
      <w:r w:rsidRPr="004B6F45">
        <w:rPr>
          <w:rFonts w:ascii="Times New Roman" w:hAnsi="Times New Roman" w:cs="Times New Roman"/>
          <w:b/>
          <w:bCs/>
        </w:rPr>
        <w:t>QIK Banco Digital</w:t>
      </w:r>
      <w:r w:rsidRPr="004B6F45">
        <w:rPr>
          <w:rFonts w:ascii="Times New Roman" w:hAnsi="Times New Roman" w:cs="Times New Roman"/>
        </w:rPr>
        <w:t xml:space="preserve">, cuya participación creciente en el sistema demuestra una </w:t>
      </w:r>
      <w:r w:rsidRPr="004B6F45">
        <w:rPr>
          <w:rFonts w:ascii="Times New Roman" w:hAnsi="Times New Roman" w:cs="Times New Roman"/>
          <w:b/>
          <w:bCs/>
        </w:rPr>
        <w:t>transformación del modelo tradicional de intermediación financiera</w:t>
      </w:r>
      <w:r w:rsidRPr="004B6F45">
        <w:rPr>
          <w:rFonts w:ascii="Times New Roman" w:hAnsi="Times New Roman" w:cs="Times New Roman"/>
        </w:rPr>
        <w:t>. Esta tendencia sugiere que los usuarios están cada vez más abiertos a nuevas formas de acceso al crédito, especialmente a través de plataformas digitales que ofrecen rapidez, simplicidad y menores barreras de entrada.</w:t>
      </w:r>
    </w:p>
    <w:p w14:paraId="40C6400D"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En cuanto a la </w:t>
      </w:r>
      <w:r w:rsidRPr="004B6F45">
        <w:rPr>
          <w:rFonts w:ascii="Times New Roman" w:hAnsi="Times New Roman" w:cs="Times New Roman"/>
          <w:b/>
          <w:bCs/>
        </w:rPr>
        <w:t>morosidad</w:t>
      </w:r>
      <w:r w:rsidRPr="004B6F45">
        <w:rPr>
          <w:rFonts w:ascii="Times New Roman" w:hAnsi="Times New Roman" w:cs="Times New Roman"/>
        </w:rPr>
        <w:t xml:space="preserve">, si bien el nivel general se mantuvo bajo y dentro de márgenes saludables, se observaron señales de </w:t>
      </w:r>
      <w:r w:rsidRPr="004B6F45">
        <w:rPr>
          <w:rFonts w:ascii="Times New Roman" w:hAnsi="Times New Roman" w:cs="Times New Roman"/>
          <w:b/>
          <w:bCs/>
        </w:rPr>
        <w:t>alerta temprana en segmentos como tarjetas de crédito y préstamos de consumo</w:t>
      </w:r>
      <w:r w:rsidRPr="004B6F45">
        <w:rPr>
          <w:rFonts w:ascii="Times New Roman" w:hAnsi="Times New Roman" w:cs="Times New Roman"/>
        </w:rPr>
        <w:t>, los cuales tienden a ser más sensibles a las fluctuaciones del ingreso familiar y al sobreendeudamiento. Estos resultados indican la necesidad de fortalecer los sistemas de evaluación crediticia y de educación financiera, así como de aplicar políticas prudenciales diferenciadas según el tipo de producto.</w:t>
      </w:r>
    </w:p>
    <w:p w14:paraId="57EC5391" w14:textId="30217DA7" w:rsidR="00395860"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El hecho de que el número de bancos múltiples se haya mantenido constante en 18 entidades también refuerza la idea de </w:t>
      </w:r>
      <w:r w:rsidRPr="004B6F45">
        <w:rPr>
          <w:rFonts w:ascii="Times New Roman" w:hAnsi="Times New Roman" w:cs="Times New Roman"/>
          <w:b/>
          <w:bCs/>
        </w:rPr>
        <w:t>estabilidad sistémica</w:t>
      </w:r>
      <w:r w:rsidRPr="004B6F45">
        <w:rPr>
          <w:rFonts w:ascii="Times New Roman" w:hAnsi="Times New Roman" w:cs="Times New Roman"/>
        </w:rPr>
        <w:t xml:space="preserve">, sin procesos de concentración o salidas abruptas del mercado durante el período. Las entidades líderes —como Banco Popular, </w:t>
      </w:r>
      <w:proofErr w:type="spellStart"/>
      <w:r w:rsidRPr="004B6F45">
        <w:rPr>
          <w:rFonts w:ascii="Times New Roman" w:hAnsi="Times New Roman" w:cs="Times New Roman"/>
        </w:rPr>
        <w:t>Banreservas</w:t>
      </w:r>
      <w:proofErr w:type="spellEnd"/>
      <w:r w:rsidRPr="004B6F45">
        <w:rPr>
          <w:rFonts w:ascii="Times New Roman" w:hAnsi="Times New Roman" w:cs="Times New Roman"/>
        </w:rPr>
        <w:t>, BHD León, entre otras— continúan consolidando su rol como principales motores del crédito, aunque enfrentan ahora el desafío de adaptarse y competir con jugadores digitales emergentes.</w:t>
      </w:r>
    </w:p>
    <w:p w14:paraId="19A1AE46" w14:textId="77777777" w:rsidR="004B6F45" w:rsidRPr="004B6F45" w:rsidRDefault="004B6F45" w:rsidP="004B6F45">
      <w:pPr>
        <w:jc w:val="both"/>
        <w:rPr>
          <w:rFonts w:ascii="Times New Roman" w:hAnsi="Times New Roman" w:cs="Times New Roman"/>
        </w:rPr>
      </w:pPr>
      <w:r w:rsidRPr="004B6F45">
        <w:rPr>
          <w:rFonts w:ascii="Times New Roman" w:hAnsi="Times New Roman" w:cs="Times New Roman"/>
        </w:rPr>
        <w:t xml:space="preserve">En conjunto, los resultados muestran que el </w:t>
      </w:r>
      <w:r w:rsidRPr="004B6F45">
        <w:rPr>
          <w:rFonts w:ascii="Times New Roman" w:hAnsi="Times New Roman" w:cs="Times New Roman"/>
          <w:b/>
          <w:bCs/>
        </w:rPr>
        <w:t>sistema financiero dominicano es resiliente, dinámico y en evolución constante</w:t>
      </w:r>
      <w:r w:rsidRPr="004B6F45">
        <w:rPr>
          <w:rFonts w:ascii="Times New Roman" w:hAnsi="Times New Roman" w:cs="Times New Roman"/>
        </w:rPr>
        <w:t>. Ha sabido responder a las nuevas demandas del mercado y a los cambios en los patrones de consumo financiero, al tiempo que expande progresivamente el acceso al crédito, lo que contribuye de forma directa al crecimiento económico y a la inclusión financiera del país.</w:t>
      </w:r>
    </w:p>
    <w:p w14:paraId="7879F702" w14:textId="77777777" w:rsidR="004B6F45" w:rsidRDefault="004B6F45"/>
    <w:sectPr w:rsidR="004B6F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762C2"/>
    <w:multiLevelType w:val="hybridMultilevel"/>
    <w:tmpl w:val="02DE6AAE"/>
    <w:lvl w:ilvl="0" w:tplc="083EA7A4">
      <w:start w:val="1"/>
      <w:numFmt w:val="decimal"/>
      <w:pStyle w:val="Ttulo1"/>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1A5C698C"/>
    <w:multiLevelType w:val="hybridMultilevel"/>
    <w:tmpl w:val="C56C6C3E"/>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2" w15:restartNumberingAfterBreak="0">
    <w:nsid w:val="22096288"/>
    <w:multiLevelType w:val="multilevel"/>
    <w:tmpl w:val="92B6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352C1"/>
    <w:multiLevelType w:val="hybridMultilevel"/>
    <w:tmpl w:val="204A0046"/>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4" w15:restartNumberingAfterBreak="0">
    <w:nsid w:val="4E317FAA"/>
    <w:multiLevelType w:val="multilevel"/>
    <w:tmpl w:val="07A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E597D"/>
    <w:multiLevelType w:val="hybridMultilevel"/>
    <w:tmpl w:val="95FEC7B4"/>
    <w:lvl w:ilvl="0" w:tplc="1C0A000F">
      <w:start w:val="1"/>
      <w:numFmt w:val="decimal"/>
      <w:lvlText w:val="%1."/>
      <w:lvlJc w:val="left"/>
      <w:pPr>
        <w:ind w:left="1080" w:hanging="360"/>
      </w:p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6" w15:restartNumberingAfterBreak="0">
    <w:nsid w:val="586B4FB6"/>
    <w:multiLevelType w:val="multilevel"/>
    <w:tmpl w:val="F26A8CEA"/>
    <w:lvl w:ilvl="0">
      <w:start w:val="2"/>
      <w:numFmt w:val="decimal"/>
      <w:lvlText w:val="%1"/>
      <w:lvlJc w:val="left"/>
      <w:pPr>
        <w:ind w:left="420" w:hanging="420"/>
      </w:pPr>
      <w:rPr>
        <w:rFonts w:hint="default"/>
      </w:rPr>
    </w:lvl>
    <w:lvl w:ilvl="1">
      <w:start w:val="1"/>
      <w:numFmt w:val="decimal"/>
      <w:pStyle w:val="Ttulo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02B0F8A"/>
    <w:multiLevelType w:val="multilevel"/>
    <w:tmpl w:val="882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92204"/>
    <w:multiLevelType w:val="multilevel"/>
    <w:tmpl w:val="4592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E106C"/>
    <w:multiLevelType w:val="multilevel"/>
    <w:tmpl w:val="836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F2136"/>
    <w:multiLevelType w:val="hybridMultilevel"/>
    <w:tmpl w:val="80747F6C"/>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1" w15:restartNumberingAfterBreak="0">
    <w:nsid w:val="68956DB5"/>
    <w:multiLevelType w:val="hybridMultilevel"/>
    <w:tmpl w:val="08E0DFE4"/>
    <w:lvl w:ilvl="0" w:tplc="1C0A0019">
      <w:start w:val="1"/>
      <w:numFmt w:val="lowerLetter"/>
      <w:lvlText w:val="%1."/>
      <w:lvlJc w:val="left"/>
      <w:pPr>
        <w:ind w:left="1080" w:hanging="360"/>
      </w:p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num w:numId="1" w16cid:durableId="1597907932">
    <w:abstractNumId w:val="7"/>
  </w:num>
  <w:num w:numId="2" w16cid:durableId="1904439684">
    <w:abstractNumId w:val="1"/>
  </w:num>
  <w:num w:numId="3" w16cid:durableId="551036984">
    <w:abstractNumId w:val="9"/>
  </w:num>
  <w:num w:numId="4" w16cid:durableId="1459958401">
    <w:abstractNumId w:val="3"/>
  </w:num>
  <w:num w:numId="5" w16cid:durableId="83650784">
    <w:abstractNumId w:val="2"/>
  </w:num>
  <w:num w:numId="6" w16cid:durableId="1083573613">
    <w:abstractNumId w:val="5"/>
  </w:num>
  <w:num w:numId="7" w16cid:durableId="669874034">
    <w:abstractNumId w:val="0"/>
  </w:num>
  <w:num w:numId="8" w16cid:durableId="1880359473">
    <w:abstractNumId w:val="0"/>
  </w:num>
  <w:num w:numId="9" w16cid:durableId="1955088127">
    <w:abstractNumId w:val="0"/>
  </w:num>
  <w:num w:numId="10" w16cid:durableId="395129418">
    <w:abstractNumId w:val="6"/>
  </w:num>
  <w:num w:numId="11" w16cid:durableId="47188490">
    <w:abstractNumId w:val="6"/>
  </w:num>
  <w:num w:numId="12" w16cid:durableId="1982727212">
    <w:abstractNumId w:val="6"/>
  </w:num>
  <w:num w:numId="13" w16cid:durableId="1508908297">
    <w:abstractNumId w:val="6"/>
  </w:num>
  <w:num w:numId="14" w16cid:durableId="605696582">
    <w:abstractNumId w:val="6"/>
  </w:num>
  <w:num w:numId="15" w16cid:durableId="1918591825">
    <w:abstractNumId w:val="6"/>
  </w:num>
  <w:num w:numId="16" w16cid:durableId="2059474460">
    <w:abstractNumId w:val="6"/>
  </w:num>
  <w:num w:numId="17" w16cid:durableId="1209999494">
    <w:abstractNumId w:val="4"/>
  </w:num>
  <w:num w:numId="18" w16cid:durableId="355889105">
    <w:abstractNumId w:val="8"/>
  </w:num>
  <w:num w:numId="19" w16cid:durableId="774788559">
    <w:abstractNumId w:val="6"/>
  </w:num>
  <w:num w:numId="20" w16cid:durableId="1637948008">
    <w:abstractNumId w:val="6"/>
  </w:num>
  <w:num w:numId="21" w16cid:durableId="1140920866">
    <w:abstractNumId w:val="6"/>
  </w:num>
  <w:num w:numId="22" w16cid:durableId="510068370">
    <w:abstractNumId w:val="6"/>
  </w:num>
  <w:num w:numId="23" w16cid:durableId="893465736">
    <w:abstractNumId w:val="6"/>
  </w:num>
  <w:num w:numId="24" w16cid:durableId="1893538773">
    <w:abstractNumId w:val="6"/>
  </w:num>
  <w:num w:numId="25" w16cid:durableId="421999324">
    <w:abstractNumId w:val="6"/>
  </w:num>
  <w:num w:numId="26" w16cid:durableId="1035160756">
    <w:abstractNumId w:val="6"/>
  </w:num>
  <w:num w:numId="27" w16cid:durableId="1921672246">
    <w:abstractNumId w:val="6"/>
  </w:num>
  <w:num w:numId="28" w16cid:durableId="611980867">
    <w:abstractNumId w:val="6"/>
  </w:num>
  <w:num w:numId="29" w16cid:durableId="1548371771">
    <w:abstractNumId w:val="10"/>
  </w:num>
  <w:num w:numId="30" w16cid:durableId="1287200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AE"/>
    <w:rsid w:val="00087C5B"/>
    <w:rsid w:val="002710AE"/>
    <w:rsid w:val="003647C9"/>
    <w:rsid w:val="00395860"/>
    <w:rsid w:val="004B6F45"/>
    <w:rsid w:val="00665BDF"/>
    <w:rsid w:val="00981C63"/>
    <w:rsid w:val="00A4141E"/>
    <w:rsid w:val="00D12124"/>
    <w:rsid w:val="00DB3587"/>
    <w:rsid w:val="00E963A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0A3A"/>
  <w15:chartTrackingRefBased/>
  <w15:docId w15:val="{2C1531C4-2B9E-4750-8DA6-35C7752D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47C9"/>
    <w:pPr>
      <w:numPr>
        <w:numId w:val="7"/>
      </w:numPr>
      <w:spacing w:before="240"/>
      <w:outlineLvl w:val="0"/>
    </w:pPr>
    <w:rPr>
      <w:rFonts w:ascii="Times New Roman" w:hAnsi="Times New Roman" w:cs="Times New Roman"/>
      <w:b/>
      <w:bCs/>
      <w:color w:val="074F6A" w:themeColor="accent4" w:themeShade="80"/>
      <w:sz w:val="32"/>
      <w:szCs w:val="32"/>
    </w:rPr>
  </w:style>
  <w:style w:type="paragraph" w:styleId="Ttulo2">
    <w:name w:val="heading 2"/>
    <w:basedOn w:val="Ttulo1"/>
    <w:next w:val="Normal"/>
    <w:link w:val="Ttulo2Car"/>
    <w:uiPriority w:val="9"/>
    <w:unhideWhenUsed/>
    <w:qFormat/>
    <w:rsid w:val="00DB3587"/>
    <w:pPr>
      <w:numPr>
        <w:ilvl w:val="1"/>
        <w:numId w:val="10"/>
      </w:numPr>
      <w:tabs>
        <w:tab w:val="left" w:pos="1350"/>
      </w:tabs>
      <w:outlineLvl w:val="1"/>
    </w:pPr>
    <w:rPr>
      <w:color w:val="074F6A" w:themeColor="accent4" w:themeShade="80"/>
    </w:rPr>
  </w:style>
  <w:style w:type="paragraph" w:styleId="Ttulo3">
    <w:name w:val="heading 3"/>
    <w:basedOn w:val="Normal"/>
    <w:next w:val="Normal"/>
    <w:link w:val="Ttulo3Car"/>
    <w:uiPriority w:val="9"/>
    <w:semiHidden/>
    <w:unhideWhenUsed/>
    <w:qFormat/>
    <w:rsid w:val="002710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10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10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10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10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10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10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7C9"/>
    <w:rPr>
      <w:rFonts w:ascii="Times New Roman" w:hAnsi="Times New Roman" w:cs="Times New Roman"/>
      <w:b/>
      <w:bCs/>
      <w:color w:val="074F6A" w:themeColor="accent4" w:themeShade="80"/>
      <w:sz w:val="32"/>
      <w:szCs w:val="32"/>
    </w:rPr>
  </w:style>
  <w:style w:type="character" w:customStyle="1" w:styleId="Ttulo2Car">
    <w:name w:val="Título 2 Car"/>
    <w:basedOn w:val="Fuentedeprrafopredeter"/>
    <w:link w:val="Ttulo2"/>
    <w:uiPriority w:val="9"/>
    <w:rsid w:val="00DB3587"/>
    <w:rPr>
      <w:rFonts w:ascii="Times New Roman" w:hAnsi="Times New Roman" w:cs="Times New Roman"/>
      <w:b/>
      <w:bCs/>
      <w:color w:val="074F6A" w:themeColor="accent4" w:themeShade="80"/>
      <w:sz w:val="32"/>
      <w:szCs w:val="32"/>
    </w:rPr>
  </w:style>
  <w:style w:type="character" w:customStyle="1" w:styleId="Ttulo3Car">
    <w:name w:val="Título 3 Car"/>
    <w:basedOn w:val="Fuentedeprrafopredeter"/>
    <w:link w:val="Ttulo3"/>
    <w:uiPriority w:val="9"/>
    <w:semiHidden/>
    <w:rsid w:val="002710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10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10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10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10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10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10AE"/>
    <w:rPr>
      <w:rFonts w:eastAsiaTheme="majorEastAsia" w:cstheme="majorBidi"/>
      <w:color w:val="272727" w:themeColor="text1" w:themeTint="D8"/>
    </w:rPr>
  </w:style>
  <w:style w:type="paragraph" w:styleId="Ttulo">
    <w:name w:val="Title"/>
    <w:basedOn w:val="Normal"/>
    <w:next w:val="Normal"/>
    <w:link w:val="TtuloCar"/>
    <w:uiPriority w:val="10"/>
    <w:qFormat/>
    <w:rsid w:val="00271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10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10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10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10AE"/>
    <w:pPr>
      <w:spacing w:before="160"/>
      <w:jc w:val="center"/>
    </w:pPr>
    <w:rPr>
      <w:i/>
      <w:iCs/>
      <w:color w:val="404040" w:themeColor="text1" w:themeTint="BF"/>
    </w:rPr>
  </w:style>
  <w:style w:type="character" w:customStyle="1" w:styleId="CitaCar">
    <w:name w:val="Cita Car"/>
    <w:basedOn w:val="Fuentedeprrafopredeter"/>
    <w:link w:val="Cita"/>
    <w:uiPriority w:val="29"/>
    <w:rsid w:val="002710AE"/>
    <w:rPr>
      <w:i/>
      <w:iCs/>
      <w:color w:val="404040" w:themeColor="text1" w:themeTint="BF"/>
    </w:rPr>
  </w:style>
  <w:style w:type="paragraph" w:styleId="Prrafodelista">
    <w:name w:val="List Paragraph"/>
    <w:basedOn w:val="Normal"/>
    <w:uiPriority w:val="34"/>
    <w:qFormat/>
    <w:rsid w:val="002710AE"/>
    <w:pPr>
      <w:ind w:left="720"/>
      <w:contextualSpacing/>
    </w:pPr>
  </w:style>
  <w:style w:type="character" w:styleId="nfasisintenso">
    <w:name w:val="Intense Emphasis"/>
    <w:basedOn w:val="Fuentedeprrafopredeter"/>
    <w:uiPriority w:val="21"/>
    <w:qFormat/>
    <w:rsid w:val="002710AE"/>
    <w:rPr>
      <w:i/>
      <w:iCs/>
      <w:color w:val="0F4761" w:themeColor="accent1" w:themeShade="BF"/>
    </w:rPr>
  </w:style>
  <w:style w:type="paragraph" w:styleId="Citadestacada">
    <w:name w:val="Intense Quote"/>
    <w:basedOn w:val="Normal"/>
    <w:next w:val="Normal"/>
    <w:link w:val="CitadestacadaCar"/>
    <w:uiPriority w:val="30"/>
    <w:qFormat/>
    <w:rsid w:val="00271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10AE"/>
    <w:rPr>
      <w:i/>
      <w:iCs/>
      <w:color w:val="0F4761" w:themeColor="accent1" w:themeShade="BF"/>
    </w:rPr>
  </w:style>
  <w:style w:type="character" w:styleId="Referenciaintensa">
    <w:name w:val="Intense Reference"/>
    <w:basedOn w:val="Fuentedeprrafopredeter"/>
    <w:uiPriority w:val="32"/>
    <w:qFormat/>
    <w:rsid w:val="002710AE"/>
    <w:rPr>
      <w:b/>
      <w:bCs/>
      <w:smallCaps/>
      <w:color w:val="0F4761" w:themeColor="accent1" w:themeShade="BF"/>
      <w:spacing w:val="5"/>
    </w:rPr>
  </w:style>
  <w:style w:type="paragraph" w:styleId="NormalWeb">
    <w:name w:val="Normal (Web)"/>
    <w:basedOn w:val="Normal"/>
    <w:uiPriority w:val="99"/>
    <w:semiHidden/>
    <w:unhideWhenUsed/>
    <w:rsid w:val="00DB3587"/>
    <w:rPr>
      <w:rFonts w:ascii="Times New Roman" w:hAnsi="Times New Roman" w:cs="Times New Roman"/>
    </w:rPr>
  </w:style>
  <w:style w:type="paragraph" w:styleId="Textoindependiente">
    <w:name w:val="Body Text"/>
    <w:basedOn w:val="Normal"/>
    <w:link w:val="TextoindependienteCar"/>
    <w:uiPriority w:val="1"/>
    <w:unhideWhenUsed/>
    <w:qFormat/>
    <w:rsid w:val="00395860"/>
    <w:pPr>
      <w:widowControl w:val="0"/>
      <w:autoSpaceDE w:val="0"/>
      <w:autoSpaceDN w:val="0"/>
      <w:spacing w:after="0" w:line="240" w:lineRule="auto"/>
    </w:pPr>
    <w:rPr>
      <w:rFonts w:ascii="Arial" w:eastAsia="Arial" w:hAnsi="Arial" w:cs="Arial"/>
      <w:kern w:val="0"/>
      <w:lang w:val="es-ES"/>
      <w14:ligatures w14:val="none"/>
    </w:rPr>
  </w:style>
  <w:style w:type="character" w:customStyle="1" w:styleId="TextoindependienteCar">
    <w:name w:val="Texto independiente Car"/>
    <w:basedOn w:val="Fuentedeprrafopredeter"/>
    <w:link w:val="Textoindependiente"/>
    <w:uiPriority w:val="1"/>
    <w:rsid w:val="00395860"/>
    <w:rPr>
      <w:rFonts w:ascii="Arial" w:eastAsia="Arial" w:hAnsi="Arial" w:cs="Arial"/>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938029">
      <w:bodyDiv w:val="1"/>
      <w:marLeft w:val="0"/>
      <w:marRight w:val="0"/>
      <w:marTop w:val="0"/>
      <w:marBottom w:val="0"/>
      <w:divBdr>
        <w:top w:val="none" w:sz="0" w:space="0" w:color="auto"/>
        <w:left w:val="none" w:sz="0" w:space="0" w:color="auto"/>
        <w:bottom w:val="none" w:sz="0" w:space="0" w:color="auto"/>
        <w:right w:val="none" w:sz="0" w:space="0" w:color="auto"/>
      </w:divBdr>
    </w:div>
    <w:div w:id="382408358">
      <w:bodyDiv w:val="1"/>
      <w:marLeft w:val="0"/>
      <w:marRight w:val="0"/>
      <w:marTop w:val="0"/>
      <w:marBottom w:val="0"/>
      <w:divBdr>
        <w:top w:val="none" w:sz="0" w:space="0" w:color="auto"/>
        <w:left w:val="none" w:sz="0" w:space="0" w:color="auto"/>
        <w:bottom w:val="none" w:sz="0" w:space="0" w:color="auto"/>
        <w:right w:val="none" w:sz="0" w:space="0" w:color="auto"/>
      </w:divBdr>
    </w:div>
    <w:div w:id="395475436">
      <w:bodyDiv w:val="1"/>
      <w:marLeft w:val="0"/>
      <w:marRight w:val="0"/>
      <w:marTop w:val="0"/>
      <w:marBottom w:val="0"/>
      <w:divBdr>
        <w:top w:val="none" w:sz="0" w:space="0" w:color="auto"/>
        <w:left w:val="none" w:sz="0" w:space="0" w:color="auto"/>
        <w:bottom w:val="none" w:sz="0" w:space="0" w:color="auto"/>
        <w:right w:val="none" w:sz="0" w:space="0" w:color="auto"/>
      </w:divBdr>
    </w:div>
    <w:div w:id="443697020">
      <w:bodyDiv w:val="1"/>
      <w:marLeft w:val="0"/>
      <w:marRight w:val="0"/>
      <w:marTop w:val="0"/>
      <w:marBottom w:val="0"/>
      <w:divBdr>
        <w:top w:val="none" w:sz="0" w:space="0" w:color="auto"/>
        <w:left w:val="none" w:sz="0" w:space="0" w:color="auto"/>
        <w:bottom w:val="none" w:sz="0" w:space="0" w:color="auto"/>
        <w:right w:val="none" w:sz="0" w:space="0" w:color="auto"/>
      </w:divBdr>
    </w:div>
    <w:div w:id="481236833">
      <w:bodyDiv w:val="1"/>
      <w:marLeft w:val="0"/>
      <w:marRight w:val="0"/>
      <w:marTop w:val="0"/>
      <w:marBottom w:val="0"/>
      <w:divBdr>
        <w:top w:val="none" w:sz="0" w:space="0" w:color="auto"/>
        <w:left w:val="none" w:sz="0" w:space="0" w:color="auto"/>
        <w:bottom w:val="none" w:sz="0" w:space="0" w:color="auto"/>
        <w:right w:val="none" w:sz="0" w:space="0" w:color="auto"/>
      </w:divBdr>
    </w:div>
    <w:div w:id="492185959">
      <w:bodyDiv w:val="1"/>
      <w:marLeft w:val="0"/>
      <w:marRight w:val="0"/>
      <w:marTop w:val="0"/>
      <w:marBottom w:val="0"/>
      <w:divBdr>
        <w:top w:val="none" w:sz="0" w:space="0" w:color="auto"/>
        <w:left w:val="none" w:sz="0" w:space="0" w:color="auto"/>
        <w:bottom w:val="none" w:sz="0" w:space="0" w:color="auto"/>
        <w:right w:val="none" w:sz="0" w:space="0" w:color="auto"/>
      </w:divBdr>
    </w:div>
    <w:div w:id="603197788">
      <w:bodyDiv w:val="1"/>
      <w:marLeft w:val="0"/>
      <w:marRight w:val="0"/>
      <w:marTop w:val="0"/>
      <w:marBottom w:val="0"/>
      <w:divBdr>
        <w:top w:val="none" w:sz="0" w:space="0" w:color="auto"/>
        <w:left w:val="none" w:sz="0" w:space="0" w:color="auto"/>
        <w:bottom w:val="none" w:sz="0" w:space="0" w:color="auto"/>
        <w:right w:val="none" w:sz="0" w:space="0" w:color="auto"/>
      </w:divBdr>
    </w:div>
    <w:div w:id="617108142">
      <w:bodyDiv w:val="1"/>
      <w:marLeft w:val="0"/>
      <w:marRight w:val="0"/>
      <w:marTop w:val="0"/>
      <w:marBottom w:val="0"/>
      <w:divBdr>
        <w:top w:val="none" w:sz="0" w:space="0" w:color="auto"/>
        <w:left w:val="none" w:sz="0" w:space="0" w:color="auto"/>
        <w:bottom w:val="none" w:sz="0" w:space="0" w:color="auto"/>
        <w:right w:val="none" w:sz="0" w:space="0" w:color="auto"/>
      </w:divBdr>
    </w:div>
    <w:div w:id="661859451">
      <w:bodyDiv w:val="1"/>
      <w:marLeft w:val="0"/>
      <w:marRight w:val="0"/>
      <w:marTop w:val="0"/>
      <w:marBottom w:val="0"/>
      <w:divBdr>
        <w:top w:val="none" w:sz="0" w:space="0" w:color="auto"/>
        <w:left w:val="none" w:sz="0" w:space="0" w:color="auto"/>
        <w:bottom w:val="none" w:sz="0" w:space="0" w:color="auto"/>
        <w:right w:val="none" w:sz="0" w:space="0" w:color="auto"/>
      </w:divBdr>
    </w:div>
    <w:div w:id="856042883">
      <w:bodyDiv w:val="1"/>
      <w:marLeft w:val="0"/>
      <w:marRight w:val="0"/>
      <w:marTop w:val="0"/>
      <w:marBottom w:val="0"/>
      <w:divBdr>
        <w:top w:val="none" w:sz="0" w:space="0" w:color="auto"/>
        <w:left w:val="none" w:sz="0" w:space="0" w:color="auto"/>
        <w:bottom w:val="none" w:sz="0" w:space="0" w:color="auto"/>
        <w:right w:val="none" w:sz="0" w:space="0" w:color="auto"/>
      </w:divBdr>
    </w:div>
    <w:div w:id="887838837">
      <w:bodyDiv w:val="1"/>
      <w:marLeft w:val="0"/>
      <w:marRight w:val="0"/>
      <w:marTop w:val="0"/>
      <w:marBottom w:val="0"/>
      <w:divBdr>
        <w:top w:val="none" w:sz="0" w:space="0" w:color="auto"/>
        <w:left w:val="none" w:sz="0" w:space="0" w:color="auto"/>
        <w:bottom w:val="none" w:sz="0" w:space="0" w:color="auto"/>
        <w:right w:val="none" w:sz="0" w:space="0" w:color="auto"/>
      </w:divBdr>
    </w:div>
    <w:div w:id="907229770">
      <w:bodyDiv w:val="1"/>
      <w:marLeft w:val="0"/>
      <w:marRight w:val="0"/>
      <w:marTop w:val="0"/>
      <w:marBottom w:val="0"/>
      <w:divBdr>
        <w:top w:val="none" w:sz="0" w:space="0" w:color="auto"/>
        <w:left w:val="none" w:sz="0" w:space="0" w:color="auto"/>
        <w:bottom w:val="none" w:sz="0" w:space="0" w:color="auto"/>
        <w:right w:val="none" w:sz="0" w:space="0" w:color="auto"/>
      </w:divBdr>
    </w:div>
    <w:div w:id="948585258">
      <w:bodyDiv w:val="1"/>
      <w:marLeft w:val="0"/>
      <w:marRight w:val="0"/>
      <w:marTop w:val="0"/>
      <w:marBottom w:val="0"/>
      <w:divBdr>
        <w:top w:val="none" w:sz="0" w:space="0" w:color="auto"/>
        <w:left w:val="none" w:sz="0" w:space="0" w:color="auto"/>
        <w:bottom w:val="none" w:sz="0" w:space="0" w:color="auto"/>
        <w:right w:val="none" w:sz="0" w:space="0" w:color="auto"/>
      </w:divBdr>
    </w:div>
    <w:div w:id="1181314235">
      <w:bodyDiv w:val="1"/>
      <w:marLeft w:val="0"/>
      <w:marRight w:val="0"/>
      <w:marTop w:val="0"/>
      <w:marBottom w:val="0"/>
      <w:divBdr>
        <w:top w:val="none" w:sz="0" w:space="0" w:color="auto"/>
        <w:left w:val="none" w:sz="0" w:space="0" w:color="auto"/>
        <w:bottom w:val="none" w:sz="0" w:space="0" w:color="auto"/>
        <w:right w:val="none" w:sz="0" w:space="0" w:color="auto"/>
      </w:divBdr>
    </w:div>
    <w:div w:id="1308827339">
      <w:bodyDiv w:val="1"/>
      <w:marLeft w:val="0"/>
      <w:marRight w:val="0"/>
      <w:marTop w:val="0"/>
      <w:marBottom w:val="0"/>
      <w:divBdr>
        <w:top w:val="none" w:sz="0" w:space="0" w:color="auto"/>
        <w:left w:val="none" w:sz="0" w:space="0" w:color="auto"/>
        <w:bottom w:val="none" w:sz="0" w:space="0" w:color="auto"/>
        <w:right w:val="none" w:sz="0" w:space="0" w:color="auto"/>
      </w:divBdr>
    </w:div>
    <w:div w:id="1344671007">
      <w:bodyDiv w:val="1"/>
      <w:marLeft w:val="0"/>
      <w:marRight w:val="0"/>
      <w:marTop w:val="0"/>
      <w:marBottom w:val="0"/>
      <w:divBdr>
        <w:top w:val="none" w:sz="0" w:space="0" w:color="auto"/>
        <w:left w:val="none" w:sz="0" w:space="0" w:color="auto"/>
        <w:bottom w:val="none" w:sz="0" w:space="0" w:color="auto"/>
        <w:right w:val="none" w:sz="0" w:space="0" w:color="auto"/>
      </w:divBdr>
    </w:div>
    <w:div w:id="1461341421">
      <w:bodyDiv w:val="1"/>
      <w:marLeft w:val="0"/>
      <w:marRight w:val="0"/>
      <w:marTop w:val="0"/>
      <w:marBottom w:val="0"/>
      <w:divBdr>
        <w:top w:val="none" w:sz="0" w:space="0" w:color="auto"/>
        <w:left w:val="none" w:sz="0" w:space="0" w:color="auto"/>
        <w:bottom w:val="none" w:sz="0" w:space="0" w:color="auto"/>
        <w:right w:val="none" w:sz="0" w:space="0" w:color="auto"/>
      </w:divBdr>
    </w:div>
    <w:div w:id="1626616687">
      <w:bodyDiv w:val="1"/>
      <w:marLeft w:val="0"/>
      <w:marRight w:val="0"/>
      <w:marTop w:val="0"/>
      <w:marBottom w:val="0"/>
      <w:divBdr>
        <w:top w:val="none" w:sz="0" w:space="0" w:color="auto"/>
        <w:left w:val="none" w:sz="0" w:space="0" w:color="auto"/>
        <w:bottom w:val="none" w:sz="0" w:space="0" w:color="auto"/>
        <w:right w:val="none" w:sz="0" w:space="0" w:color="auto"/>
      </w:divBdr>
    </w:div>
    <w:div w:id="1756628146">
      <w:bodyDiv w:val="1"/>
      <w:marLeft w:val="0"/>
      <w:marRight w:val="0"/>
      <w:marTop w:val="0"/>
      <w:marBottom w:val="0"/>
      <w:divBdr>
        <w:top w:val="none" w:sz="0" w:space="0" w:color="auto"/>
        <w:left w:val="none" w:sz="0" w:space="0" w:color="auto"/>
        <w:bottom w:val="none" w:sz="0" w:space="0" w:color="auto"/>
        <w:right w:val="none" w:sz="0" w:space="0" w:color="auto"/>
      </w:divBdr>
    </w:div>
    <w:div w:id="1823690202">
      <w:bodyDiv w:val="1"/>
      <w:marLeft w:val="0"/>
      <w:marRight w:val="0"/>
      <w:marTop w:val="0"/>
      <w:marBottom w:val="0"/>
      <w:divBdr>
        <w:top w:val="none" w:sz="0" w:space="0" w:color="auto"/>
        <w:left w:val="none" w:sz="0" w:space="0" w:color="auto"/>
        <w:bottom w:val="none" w:sz="0" w:space="0" w:color="auto"/>
        <w:right w:val="none" w:sz="0" w:space="0" w:color="auto"/>
      </w:divBdr>
    </w:div>
    <w:div w:id="1824547711">
      <w:bodyDiv w:val="1"/>
      <w:marLeft w:val="0"/>
      <w:marRight w:val="0"/>
      <w:marTop w:val="0"/>
      <w:marBottom w:val="0"/>
      <w:divBdr>
        <w:top w:val="none" w:sz="0" w:space="0" w:color="auto"/>
        <w:left w:val="none" w:sz="0" w:space="0" w:color="auto"/>
        <w:bottom w:val="none" w:sz="0" w:space="0" w:color="auto"/>
        <w:right w:val="none" w:sz="0" w:space="0" w:color="auto"/>
      </w:divBdr>
    </w:div>
    <w:div w:id="1862620039">
      <w:bodyDiv w:val="1"/>
      <w:marLeft w:val="0"/>
      <w:marRight w:val="0"/>
      <w:marTop w:val="0"/>
      <w:marBottom w:val="0"/>
      <w:divBdr>
        <w:top w:val="none" w:sz="0" w:space="0" w:color="auto"/>
        <w:left w:val="none" w:sz="0" w:space="0" w:color="auto"/>
        <w:bottom w:val="none" w:sz="0" w:space="0" w:color="auto"/>
        <w:right w:val="none" w:sz="0" w:space="0" w:color="auto"/>
      </w:divBdr>
    </w:div>
    <w:div w:id="1877228521">
      <w:bodyDiv w:val="1"/>
      <w:marLeft w:val="0"/>
      <w:marRight w:val="0"/>
      <w:marTop w:val="0"/>
      <w:marBottom w:val="0"/>
      <w:divBdr>
        <w:top w:val="none" w:sz="0" w:space="0" w:color="auto"/>
        <w:left w:val="none" w:sz="0" w:space="0" w:color="auto"/>
        <w:bottom w:val="none" w:sz="0" w:space="0" w:color="auto"/>
        <w:right w:val="none" w:sz="0" w:space="0" w:color="auto"/>
      </w:divBdr>
    </w:div>
    <w:div w:id="1955625822">
      <w:bodyDiv w:val="1"/>
      <w:marLeft w:val="0"/>
      <w:marRight w:val="0"/>
      <w:marTop w:val="0"/>
      <w:marBottom w:val="0"/>
      <w:divBdr>
        <w:top w:val="none" w:sz="0" w:space="0" w:color="auto"/>
        <w:left w:val="none" w:sz="0" w:space="0" w:color="auto"/>
        <w:bottom w:val="none" w:sz="0" w:space="0" w:color="auto"/>
        <w:right w:val="none" w:sz="0" w:space="0" w:color="auto"/>
      </w:divBdr>
    </w:div>
    <w:div w:id="1974629820">
      <w:bodyDiv w:val="1"/>
      <w:marLeft w:val="0"/>
      <w:marRight w:val="0"/>
      <w:marTop w:val="0"/>
      <w:marBottom w:val="0"/>
      <w:divBdr>
        <w:top w:val="none" w:sz="0" w:space="0" w:color="auto"/>
        <w:left w:val="none" w:sz="0" w:space="0" w:color="auto"/>
        <w:bottom w:val="none" w:sz="0" w:space="0" w:color="auto"/>
        <w:right w:val="none" w:sz="0" w:space="0" w:color="auto"/>
      </w:divBdr>
    </w:div>
    <w:div w:id="2000111743">
      <w:bodyDiv w:val="1"/>
      <w:marLeft w:val="0"/>
      <w:marRight w:val="0"/>
      <w:marTop w:val="0"/>
      <w:marBottom w:val="0"/>
      <w:divBdr>
        <w:top w:val="none" w:sz="0" w:space="0" w:color="auto"/>
        <w:left w:val="none" w:sz="0" w:space="0" w:color="auto"/>
        <w:bottom w:val="none" w:sz="0" w:space="0" w:color="auto"/>
        <w:right w:val="none" w:sz="0" w:space="0" w:color="auto"/>
      </w:divBdr>
    </w:div>
    <w:div w:id="204035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1630</Words>
  <Characters>8970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Arvelo</dc:creator>
  <cp:keywords/>
  <dc:description/>
  <cp:lastModifiedBy>Rossy Arvelo</cp:lastModifiedBy>
  <cp:revision>2</cp:revision>
  <dcterms:created xsi:type="dcterms:W3CDTF">2025-04-20T18:01:00Z</dcterms:created>
  <dcterms:modified xsi:type="dcterms:W3CDTF">2025-04-20T21:07:00Z</dcterms:modified>
</cp:coreProperties>
</file>