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auto"/>
        <w:jc w:val="center"/>
      </w:pPr>
      <w:r>
        <w:rPr>
          <w:color w:val="000000"/>
        </w:rPr>
        <w:t xml:space="preserve">Министерство науки и высшего образования Российской Федерации</w:t>
      </w:r>
    </w:p>
    <w:p>
      <w:pPr>
        <w:spacing w:after="0" w:before="0" w:line="240" w:lineRule="auto"/>
        <w:jc w:val="center"/>
      </w:pPr>
      <w:r>
        <w:rPr>
          <w:color w:val="000000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 w:before="0" w:line="240" w:lineRule="auto"/>
        <w:jc w:val="center"/>
      </w:pPr>
      <w:r>
        <w:rPr>
          <w:color w:val="000000"/>
        </w:rPr>
        <w:t xml:space="preserve">«Тверской государственный технический университет»</w:t>
      </w:r>
    </w:p>
    <w:p>
      <w:pPr>
        <w:spacing w:after="0" w:before="0" w:line="240" w:lineRule="auto"/>
        <w:jc w:val="center"/>
      </w:pPr>
      <w:r>
        <w:rPr>
          <w:color w:val="000000"/>
        </w:rPr>
        <w:t xml:space="preserve">(ТвГТУ)</w:t>
      </w:r>
    </w:p>
    <w:p>
      <w:pPr>
        <w:spacing w:after="0" w:before="0" w:line="240" w:lineRule="auto"/>
        <w:jc w:val="center"/>
      </w:pPr>
      <w:r>
        <w:rPr>
          <w:color w:val="000000"/>
        </w:rPr>
        <w:t xml:space="preserve">Кафедра автоматизации технологических процессов</w:t>
      </w: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  <w:r>
        <w:rPr>
          <w:b/>
          <w:bCs/>
          <w:color w:val="000000"/>
        </w:rPr>
        <w:t xml:space="preserve">Отчёт по лабораторной работе №3</w:t>
      </w:r>
    </w:p>
    <w:p>
      <w:pPr>
        <w:spacing w:after="0" w:before="0" w:line="240" w:lineRule="auto"/>
        <w:jc w:val="center"/>
      </w:pPr>
      <w:r>
        <w:rPr>
          <w:color w:val="000000"/>
        </w:rPr>
        <w:t xml:space="preserve">по дисциплине «Системное программное обеспечение»</w:t>
      </w:r>
    </w:p>
    <w:p>
      <w:pPr>
        <w:spacing w:after="0" w:before="0" w:line="240" w:lineRule="auto"/>
        <w:jc w:val="center"/>
      </w:pPr>
      <w:r>
        <w:rPr>
          <w:color w:val="000000"/>
        </w:rPr>
        <w:t xml:space="preserve">на тему «Контейнеризированная система управления производственным предприятием»</w:t>
      </w:r>
    </w:p>
    <w:p>
      <w:pPr>
        <w:spacing w:after="0" w:before="0" w:line="240" w:lineRule="auto"/>
        <w:jc w:val="center"/>
      </w:pPr>
      <w:r>
        <w:rPr>
          <w:color w:val="000000"/>
        </w:rPr>
        <w:t xml:space="preserve">Вариант 17</w:t>
      </w: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ind w:left="4820"/>
        <w:jc w:val="left"/>
      </w:pPr>
      <w:r>
        <w:rPr>
          <w:b/>
          <w:bCs/>
          <w:color w:val="000000"/>
        </w:rPr>
        <w:t xml:space="preserve">Выполнил:</w:t>
      </w:r>
    </w:p>
    <w:p>
      <w:pPr>
        <w:spacing w:after="0" w:before="0" w:line="240" w:lineRule="auto"/>
        <w:ind w:left="4820"/>
        <w:jc w:val="left"/>
      </w:pPr>
      <w:r>
        <w:rPr>
          <w:color w:val="000000"/>
        </w:rPr>
        <w:t xml:space="preserve">студент группы Б.ИВТ.ПРОМ.23.01</w:t>
      </w:r>
    </w:p>
    <w:p>
      <w:pPr>
        <w:spacing w:after="0" w:before="0" w:line="240" w:lineRule="auto"/>
        <w:ind w:left="4820"/>
        <w:jc w:val="left"/>
      </w:pPr>
      <w:r>
        <w:rPr>
          <w:color w:val="000000"/>
        </w:rPr>
        <w:t xml:space="preserve">Ростовцев Д. А.</w:t>
      </w:r>
    </w:p>
    <w:p>
      <w:pPr>
        <w:spacing w:after="0" w:before="0" w:line="240" w:lineRule="auto"/>
        <w:ind w:left="4820"/>
        <w:jc w:val="left"/>
      </w:pPr>
    </w:p>
    <w:p>
      <w:pPr>
        <w:spacing w:after="0" w:before="0" w:line="240" w:lineRule="auto"/>
        <w:ind w:left="4820"/>
        <w:jc w:val="left"/>
      </w:pPr>
      <w:r>
        <w:rPr>
          <w:b/>
          <w:bCs/>
          <w:color w:val="000000"/>
        </w:rPr>
        <w:t xml:space="preserve">Проверила:</w:t>
      </w:r>
    </w:p>
    <w:p>
      <w:pPr>
        <w:spacing w:after="0" w:before="0" w:line="240" w:lineRule="auto"/>
        <w:ind w:left="4820"/>
        <w:jc w:val="left"/>
      </w:pPr>
      <w:r>
        <w:rPr>
          <w:color w:val="000000"/>
        </w:rPr>
        <w:t xml:space="preserve">Лисничук А. Б.</w:t>
      </w: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  <w:r>
        <w:rPr>
          <w:color w:val="000000"/>
        </w:rPr>
        <w:t xml:space="preserve">Тверь 2026 г.</w:t>
      </w:r>
    </w:p>
    <w:p>
      <w:pPr>
        <w:pageBreakBefore/>
        <w:spacing w:after="120" w:line="360" w:lineRule="auto"/>
        <w:jc w:val="center"/>
      </w:pPr>
      <w:r>
        <w:rPr>
          <w:b/>
          <w:bCs/>
          <w:color w:val="000000"/>
          <w:sz w:val="28"/>
          <w:szCs w:val="28"/>
        </w:rPr>
        <w:t xml:space="preserve">Содержание</w:t>
      </w:r>
    </w:p>
    <w:p>
      <w:pPr>
        <w:tabs>
          <w:tab w:val="right" w:leader="dot" w:pos="9355"/>
        </w:tabs>
        <w:spacing w:before="0" w:after="0" w:line="300" w:lineRule="auto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color w:val="000000"/>
        </w:rPr>
        <w:t xml:space="preserve">Введение</w:t>
      </w:r>
      <w:r>
        <w:rPr>
          <w:color w:val="000000"/>
        </w:rPr>
        <w:tab/>
      </w:r>
      <w:r>
        <w:rPr>
          <w:color w:val="000000"/>
        </w:rPr>
        <w:t xml:space="preserve">3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1 Предметная область и сущности</w:t>
      </w:r>
      <w:r>
        <w:rPr>
          <w:color w:val="000000"/>
        </w:rPr>
        <w:tab/>
      </w:r>
      <w:r>
        <w:rPr>
          <w:color w:val="000000"/>
        </w:rPr>
        <w:t xml:space="preserve">4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2 Схема базы данных</w:t>
      </w:r>
      <w:r>
        <w:rPr>
          <w:color w:val="000000"/>
        </w:rPr>
        <w:tab/>
      </w:r>
      <w:r>
        <w:rPr>
          <w:color w:val="000000"/>
        </w:rPr>
        <w:t xml:space="preserve">6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3 Эндпоинты API</w:t>
      </w:r>
      <w:r>
        <w:rPr>
          <w:color w:val="000000"/>
        </w:rPr>
        <w:tab/>
      </w:r>
      <w:r>
        <w:rPr>
          <w:color w:val="000000"/>
        </w:rPr>
        <w:t xml:space="preserve">7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4 Архитектура системы</w:t>
      </w:r>
      <w:r>
        <w:rPr>
          <w:color w:val="000000"/>
        </w:rPr>
        <w:tab/>
      </w:r>
      <w:r>
        <w:rPr>
          <w:color w:val="000000"/>
        </w:rPr>
        <w:t xml:space="preserve">8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4.1 Сервисы и их назначение</w:t>
      </w:r>
      <w:r>
        <w:rPr>
          <w:color w:val="000000"/>
        </w:rPr>
        <w:tab/>
      </w:r>
      <w:r>
        <w:rPr>
          <w:color w:val="000000"/>
        </w:rPr>
        <w:t xml:space="preserve">8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4.2 Кэширование в Redis</w:t>
      </w:r>
      <w:r>
        <w:rPr>
          <w:color w:val="000000"/>
        </w:rPr>
        <w:tab/>
      </w:r>
      <w:r>
        <w:rPr>
          <w:color w:val="000000"/>
        </w:rPr>
        <w:t xml:space="preserve">9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4.3 Мониторинг</w:t>
      </w:r>
      <w:r>
        <w:rPr>
          <w:color w:val="000000"/>
        </w:rPr>
        <w:tab/>
      </w:r>
      <w:r>
        <w:rPr>
          <w:color w:val="000000"/>
        </w:rPr>
        <w:t xml:space="preserve">9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5 Скриншоты работающей системы</w:t>
      </w:r>
      <w:r>
        <w:rPr>
          <w:color w:val="000000"/>
        </w:rPr>
        <w:tab/>
      </w:r>
      <w:r>
        <w:rPr>
          <w:color w:val="000000"/>
        </w:rPr>
        <w:t xml:space="preserve">11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6 CI/CD пайплайн</w:t>
      </w:r>
      <w:r>
        <w:rPr>
          <w:color w:val="000000"/>
        </w:rPr>
        <w:tab/>
      </w:r>
      <w:r>
        <w:rPr>
          <w:color w:val="000000"/>
        </w:rPr>
        <w:t xml:space="preserve">15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7 Применение делегатов в клиентском приложении</w:t>
      </w:r>
      <w:r>
        <w:rPr>
          <w:color w:val="000000"/>
        </w:rPr>
        <w:tab/>
      </w:r>
      <w:r>
        <w:rPr>
          <w:color w:val="000000"/>
        </w:rPr>
        <w:t xml:space="preserve">17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Заключение</w:t>
      </w:r>
      <w:r>
        <w:rPr>
          <w:color w:val="000000"/>
        </w:rPr>
        <w:tab/>
      </w:r>
      <w:r>
        <w:rPr>
          <w:color w:val="000000"/>
        </w:rPr>
        <w:t xml:space="preserve">19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Список использованных источников</w:t>
      </w:r>
      <w:r>
        <w:rPr>
          <w:color w:val="000000"/>
        </w:rPr>
        <w:tab/>
      </w:r>
      <w:r>
        <w:rPr>
          <w:color w:val="000000"/>
        </w:rPr>
        <w:t xml:space="preserve">21</w:t>
      </w:r>
      <w:r>
        <w:fldChar w:fldCharType="end"/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Введение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Современные серверные приложения редко состоят из одной программы. Обычно это набор сервисов: само приложение, база данных, кэш, веб-сервер, средства мониторинга. Чтобы такую систему можно было одинаково запустить на любом компьютере, каждый сервис упаковывают в контейнер Docker, а связи между ними описывают в одном файле docker-compose.yml.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Цель работы — разработать систему управления производственным предприятием (вариант 17: изделия, материалы, заказы, смены) в виде набора контейнеров: REST API на ASP.NET Core, база PostgreSQL, кэш Redis, обратный прокси Nginx, мониторинг Prometheus и Grafana, а также настроить CI-пайплайн в GitHub Actions и написать консольный C#-клиент с применением делегатов.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Вся система запускается одной командой docker compose up -d из корня репозитория. После запуска доступны: API и Swagger — http://localhost/swagger, Prometheus — http://localhost:9090, Grafana — http://localhost:3000.</w:t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Предметная область и сущности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Предприятие выпускает изделия (болты, гайки, кронштейны, валы). Для изделий нужны материалы со склада. Производство идёт по заказам, а каждый заказ выполняется в одну из рабочих смен. Отсюда четыре сущности, описанные в таблицах 1–4.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Таблица 1 — Сущность Product (изделие)</w:t>
      </w:r>
    </w:p>
    <w:tbl>
      <w:tblPr>
        <w:tblW w:type="dxa" w:w="9355"/>
        <w:jc w:val="center"/>
        <w:tblLayout w:type="fixed"/>
      </w:tblPr>
      <w:tblGrid>
        <w:gridCol w:w="2200"/>
        <w:gridCol w:w="2300"/>
        <w:gridCol w:w="4855"/>
      </w:tblGrid>
      <w:tr>
        <w:trPr>
          <w:tblHeader/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Поле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Тип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Описание и ограничения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int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Первичный ключ, задаётся базой данных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string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Название, обязательно, не короче 2 символов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string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Описание изделия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Price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decimal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Цена за единицу, руб., от 0 до 10 000 000</w:t>
            </w:r>
          </w:p>
        </w:tc>
      </w:tr>
    </w:tbl>
    <w:p>
      <w:pPr>
        <w:spacing w:after="0" w:before="0" w:line="240" w:lineRule="auto"/>
      </w:pP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Таблица 2 — Сущность Material (материал)</w:t>
      </w:r>
    </w:p>
    <w:tbl>
      <w:tblPr>
        <w:tblW w:type="dxa" w:w="9355"/>
        <w:jc w:val="center"/>
        <w:tblLayout w:type="fixed"/>
      </w:tblPr>
      <w:tblGrid>
        <w:gridCol w:w="2200"/>
        <w:gridCol w:w="2300"/>
        <w:gridCol w:w="4855"/>
      </w:tblGrid>
      <w:tr>
        <w:trPr>
          <w:tblHeader/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Поле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Тип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Описание и ограничения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int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Первичный ключ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string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Название материала, обязательно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Unit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string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Единица измерения: кг, м, шт, обязательно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double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Остаток на складе, не меньше 0</w:t>
            </w:r>
          </w:p>
        </w:tc>
      </w:tr>
    </w:tbl>
    <w:p>
      <w:pPr>
        <w:spacing w:after="0" w:before="0" w:line="240" w:lineRule="auto"/>
      </w:pP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Таблица 3 — Сущность Shift (смена)</w:t>
      </w:r>
    </w:p>
    <w:tbl>
      <w:tblPr>
        <w:tblW w:type="dxa" w:w="9355"/>
        <w:jc w:val="center"/>
        <w:tblLayout w:type="fixed"/>
      </w:tblPr>
      <w:tblGrid>
        <w:gridCol w:w="2200"/>
        <w:gridCol w:w="2300"/>
        <w:gridCol w:w="4855"/>
      </w:tblGrid>
      <w:tr>
        <w:trPr>
          <w:tblHeader/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Поле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Тип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Описание и ограничения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int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Первичный ключ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string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Название смены: «Утренняя», «Дневная», «Ночная»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StartTime, EndTime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string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Время начала и окончания, формат ЧЧ:ММ (проверка регулярным выражением)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Supervisor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string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Мастер смены, обязательно</w:t>
            </w:r>
          </w:p>
        </w:tc>
      </w:tr>
    </w:tbl>
    <w:p>
      <w:pPr>
        <w:spacing w:after="0" w:before="0" w:line="240" w:lineRule="auto"/>
      </w:pP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Таблица 4 — Сущность Order (заказ)</w:t>
      </w:r>
    </w:p>
    <w:tbl>
      <w:tblPr>
        <w:tblW w:type="dxa" w:w="9355"/>
        <w:jc w:val="center"/>
        <w:tblLayout w:type="fixed"/>
      </w:tblPr>
      <w:tblGrid>
        <w:gridCol w:w="2200"/>
        <w:gridCol w:w="2300"/>
        <w:gridCol w:w="4855"/>
      </w:tblGrid>
      <w:tr>
        <w:trPr>
          <w:tblHeader/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Поле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Тип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Описание и ограничения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int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Первичный ключ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ProductId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int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Внешний ключ на изделие, обязательно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ShiftId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int?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Внешний ключ на смену, может быть не назначена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int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Количество изделий, от 1 до 1 000 000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string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Статус: «Новый», «В работе», «Готов»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CreatedAt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DateTime</w:t>
            </w:r>
          </w:p>
        </w:tc>
        <w:tc>
          <w:tcPr>
            <w:tcW w:type="dxa" w:w="4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Дата создания (UTC)</w:t>
            </w:r>
          </w:p>
        </w:tc>
      </w:tr>
    </w:tbl>
    <w:p>
      <w:pPr>
        <w:spacing w:after="0" w:before="0" w:line="240" w:lineRule="auto"/>
      </w:pP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Ограничения задаются атрибутами валидации ([Required], [Range], [MinLength], [RegularExpression]). Если данные в запросе неверные, API автоматически возвращает код 400 с описанием ошибок.</w:t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Схема базы данных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База данных PostgreSQL создаётся миграциями Entity Framework Core. Миграции InitialCreate и AddShifts применяются автоматически при запуске API, после чего класс DbSeeder добавляет тестовые данные: 4 изделия, 4 материала, 3 смены и 4 заказа. Так как контейнер базы может стартовать дольше API, применение миграций повторяется до 10 раз с паузой. Схема базы показана на рисунке 1.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400000" cy="4344043"/>
            <wp:effectExtent t="0" r="0" b="0" l="0"/>
            <wp:docPr id="101" name="image1.png" descr="Схема базы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/>
                    </pic:cNvPicPr>
                  </pic:nvPicPr>
                  <pic:blipFill>
                    <a:blip r:embed="rIdImg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34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1 — Схема базы данных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Связи: заказ обязательно ссылается на изделие (при удалении изделия удаляются и его заказы — ON DELETE CASCADE) и может ссылаться на смену (при удалении смены у заказов поле ShiftId становится NULL). Таблица Materials отдельная: склад материалов не зависит от заказов.</w:t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Эндпоинты API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Для каждой из четырёх сущностей реализованы пять стандартных эндпоинтов (таблица 5). Все они описаны в Swagger с помощью XML-комментариев.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Таблица 5 — Эндпоинты API (entity = products, materials, orders, shifts)</w:t>
      </w:r>
    </w:p>
    <w:tbl>
      <w:tblPr>
        <w:tblW w:type="dxa" w:w="9355"/>
        <w:jc w:val="center"/>
        <w:tblLayout w:type="fixed"/>
      </w:tblPr>
      <w:tblGrid>
        <w:gridCol w:w="2700"/>
        <w:gridCol w:w="2300"/>
        <w:gridCol w:w="4355"/>
      </w:tblGrid>
      <w:tr>
        <w:trPr>
          <w:tblHeader/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Метод и адрес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Вход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Выход и коды ответа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GET /api/{entity}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200 и список записей. Для products, materials, shifts, orders — из кэша Redis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GET /api/{entity}/{id}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id в адресе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200 и запись; 404, если не найдена. Для products, materials, shifts — кэш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POST /api/{entity}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JSON с полями сущности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201 и созданная запись с Id, заголовок Location; 400 при ошибке проверки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PUT /api/{entity}/{id}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id в адресе, JSON с полями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204; 400 — id не совпадает или неверные данные; 404 — нет записи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DELETE /api/{entity}/{id}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id в адресе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204; 404, если записи нет</w:t>
            </w:r>
          </w:p>
        </w:tc>
      </w:tr>
    </w:tbl>
    <w:p>
      <w:pPr>
        <w:spacing w:after="0" w:before="0" w:line="240" w:lineRule="auto"/>
      </w:pP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Для заказов дополнительно проверяется, что указанные изделие и смена существуют: иначе API возвращает 400 «Изделие с Id … не найдено», а не ошибку базы данных 500. Список заказов возвращается вместе с изделием и сменой (Include). Пример ответа на POST /api/products: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HTTP/1.1 201 Created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{ "id": 5, "name": "Шайба М8", "description": "Шайба плоская, сталь", "price": 1.80 }</w:t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 Архитектура системы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4.1 Сервисы и их назначение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Система состоит из шести контейнеров (таблица 6), схема их взаимодействия — на рисунке 2.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Таблица 6 — Сервисы docker-compose.yml</w:t>
      </w:r>
    </w:p>
    <w:tbl>
      <w:tblPr>
        <w:tblW w:type="dxa" w:w="9355"/>
        <w:jc w:val="center"/>
        <w:tblLayout w:type="fixed"/>
      </w:tblPr>
      <w:tblGrid>
        <w:gridCol w:w="1500"/>
        <w:gridCol w:w="2700"/>
        <w:gridCol w:w="3055"/>
        <w:gridCol w:w="2100"/>
      </w:tblGrid>
      <w:tr>
        <w:trPr>
          <w:tblHeader/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Сервис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Образ</w:t>
            </w:r>
          </w:p>
        </w:tc>
        <w:tc>
          <w:tcPr>
            <w:tcW w:type="dxa" w:w="3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Порт снаружи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api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собирается из Dockerfile</w:t>
            </w:r>
          </w:p>
        </w:tc>
        <w:tc>
          <w:tcPr>
            <w:tcW w:type="dxa" w:w="3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REST API на ASP.NET Core 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нет (только через Nginx)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db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postgres:16</w:t>
            </w:r>
          </w:p>
        </w:tc>
        <w:tc>
          <w:tcPr>
            <w:tcW w:type="dxa" w:w="3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Основная база данных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5432 (для DBeaver)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redis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redis:7</w:t>
            </w:r>
          </w:p>
        </w:tc>
        <w:tc>
          <w:tcPr>
            <w:tcW w:type="dxa" w:w="3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Кэш, TTL 60 с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nginx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nginx:1.27</w:t>
            </w:r>
          </w:p>
        </w:tc>
        <w:tc>
          <w:tcPr>
            <w:tcW w:type="dxa" w:w="3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Обратный прокси, единая точка входа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prometheus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prom/prometheus:v2.53.0</w:t>
            </w:r>
          </w:p>
        </w:tc>
        <w:tc>
          <w:tcPr>
            <w:tcW w:type="dxa" w:w="3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Сбор метрик каждые 15 с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9090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grafana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grafana/grafana:11.1.0</w:t>
            </w:r>
          </w:p>
        </w:tc>
        <w:tc>
          <w:tcPr>
            <w:tcW w:type="dxa" w:w="3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Дашборд с метриками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3000</w:t>
            </w:r>
          </w:p>
        </w:tc>
      </w:tr>
    </w:tbl>
    <w:p>
      <w:pPr>
        <w:spacing w:after="0" w:before="0" w:line="240" w:lineRule="auto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40000" cy="1258079"/>
            <wp:effectExtent t="0" r="0" b="0" l="0"/>
            <wp:docPr id="102" name="image2.png" descr="Схема взаимодействия серви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/>
                    </pic:cNvPicPr>
                  </pic:nvPicPr>
                  <pic:blipFill>
                    <a:blip r:embed="rIdImg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25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2 — Схема взаимодействия сервисов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Порт API наружу не публикуется (в compose указано expose, а не ports), поэтому обратиться к API в обход Nginx нельзя. Nginx пересылает все запросы на api:8080 по имени сервиса в Docker-сети. Путь /metrics через Nginx закрыт (403): метрики читает только Prometheus изнутри сети.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Для db и redis заданы проверки готовности (healthcheck: pg_isready и redis-cli ping), а API ждёт их через depends_on с условием service_healthy. Все контейнеры имеют политику restart: unless-stopped и сами поднимаются после перезапуска Docker. Данные PostgreSQL и Grafana хранятся в томах, поэтому не теряются при пересоздании контейнеров.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api: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build: ./ProductionSystem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environment: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- CONNECTION_STRING=Host=db;Port=5432;Database=productiondb;...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- REDIS_CONNECTION=redis:6379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expose: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- "8080"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depends_on: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db: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condition: service_healthy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redis: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condition: service_healthy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restart: unless-stopped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4.2 Кэширование в Redis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Кэш реализован в классе CacheService поверх IDistributedCache по схеме «взять из кэша или загрузить из базы». Ключ — например, products_all или product_5. При изменении данных (POST, PUT, DELETE) соответствующие ключи удаляются, то есть кэш инвалидируется. Каждое обращение к кэшу считается в метрике productionsystem_cache_requests_total с меткой hit или miss. Если Redis недоступен, API продолжает работать напрямую с базой.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public async Task&lt;T?&gt; GetOrSetAsync&lt;T&gt;(string key, Func&lt;Task&lt;T?&gt;&gt; loadFromDb)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string? cached = await _cache.GetStringAsync(key);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if (cached != null)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CacheRequests.WithLabels("hit").Inc();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return JsonSerializer.Deserialize&lt;T&gt;(cached);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CacheRequests.WithLabels("miss").Inc();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T? value = await loadFromDb();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if (value != null)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await _cache.SetStringAsync(key, JsonSerializer.Serialize(value),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new DistributedCacheEntryOptions { AbsoluteExpirationRelativeToNow = Ttl });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return value;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}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4.3 Мониторинг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Пакет prometheus-net.AspNetCore добавляет в API эндпоинт /metrics (app.MapMetrics()) и метрики HTTP-запросов (app.UseHttpMetrics()). Prometheus опрашивает api:8080/metrics каждые 15 секунд. Grafana при запуске получает источник данных и дашборд из папки grafana/provisioning, поэтому ничего не нужно настраивать вручную. Дашборд «ProductionSystem — мониторинг API» содержит шесть панелей: запросы в секунду, среднее время ответа, ошибки 5xx и 4xx, память процесса API, попадания и промахи кэша Redis, запросы по контроллерам.</w:t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 Скриншоты работающей системы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На рисунке 3 показан Swagger UI, открытый через Nginx по адресу http://localhost/swagger: все эндпоинты сгруппированы по контроллерам и имеют описания.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220000" cy="5709375"/>
            <wp:effectExtent t="0" r="0" b="0" l="0"/>
            <wp:docPr id="103" name="image3.png" descr="Swagger 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/>
                    </pic:cNvPicPr>
                  </pic:nvPicPr>
                  <pic:blipFill>
                    <a:blip r:embed="rIdImg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570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3 — Swagger UI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Результат выполнения GET /api/Products из Swagger — на рисунке 4. В заголовках ответа видно server: nginx/1.27.5, то есть запрос прошёл через обратный прокси.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220000" cy="4437000"/>
            <wp:effectExtent t="0" r="0" b="0" l="0"/>
            <wp:docPr id="104" name="image4.png" descr="Ответ на запрос GET /api/Produ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/>
                    </pic:cNvPicPr>
                  </pic:nvPicPr>
                  <pic:blipFill>
                    <a:blip r:embed="rIdImg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44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4 — Ответ на запрос GET /api/Products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Состояние цели опроса в Prometheus (рисунок 5): api:8080/metrics в состоянии UP.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400000" cy="1485000"/>
            <wp:effectExtent t="0" r="0" b="0" l="0"/>
            <wp:docPr id="105" name="image5.png" descr="Цель опроса в Promethe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/>
                    </pic:cNvPicPr>
                  </pic:nvPicPr>
                  <pic:blipFill>
                    <a:blip r:embed="rIdImg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4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5 — Цель опроса в Prometheus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Дашборд Grafana во время нагрузки (рисунок 6). Видно около 20 запросов в секунду, среднее время ответа меньше миллисекунды, ошибки 4xx от запросов к несуществующим записям (404 — так и задумано), отсутствие ошибок 5xx и заметно больше попаданий в кэш, чем промахов.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60000" cy="4176000"/>
            <wp:effectExtent t="0" r="0" b="0" l="0"/>
            <wp:docPr id="106" name="image6.png" descr="Дашборд Graf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/>
                    </pic:cNvPicPr>
                  </pic:nvPicPr>
                  <pic:blipFill>
                    <a:blip r:embed="rIdImg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1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6 — Дашборд Grafana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Вывод консольного клиента — на рисунке 7. Клиент выполняет семь операций CRUD, после третьей отключает обработчик логирования, на седьмой подключает снова. В конце выводится файл лога: в нём операции 1–3 и 7, а операций 4–6 нет.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400000" cy="4450878"/>
            <wp:effectExtent t="0" r="0" b="0" l="0"/>
            <wp:docPr id="107" name="image7.png" descr="Вывод консольного клиента ProductionCl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/>
                    </pic:cNvPicPr>
                  </pic:nvPicPr>
                  <pic:blipFill>
                    <a:blip r:embed="rIdImg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45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7 — Вывод консольного клиента ProductionClient</w:t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 CI/CD пайплайн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Пайплайн описан в файле .github/workflows/ci.yml и запускается при каждом push и pull request. Шаги пайплайна: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color w:val="000000"/>
        </w:rPr>
        <w:t xml:space="preserve">actions/checkout — получение кода репозитория;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color w:val="000000"/>
        </w:rPr>
        <w:t xml:space="preserve">actions/setup-dotnet — установка .NET SDK 8.0 и 9.0 (файл решения формата .slnx читается только SDK 9.0.200 и новее, а проекты собираются под .NET 8);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color w:val="000000"/>
        </w:rPr>
        <w:t xml:space="preserve">dotnet restore — восстановление пакетов NuGet;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color w:val="000000"/>
        </w:rPr>
        <w:t xml:space="preserve">dotnet build — сборка решения в конфигурации Release;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color w:val="000000"/>
        </w:rPr>
        <w:t xml:space="preserve">dotnet test — запуск 6 автоматических тестов xUnit;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color w:val="000000"/>
        </w:rPr>
        <w:t xml:space="preserve">docker build — проверка, что образ API собирается.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Тесты (проект ProductionSystem.Tests) проверяют контроллеры на базе EF Core InMemory и кэше в памяти: создание и чтение изделия, ответ 404 для несуществующих записей, попадание списка в кэш и его инвалидацию после создания, ответ 400 при заказе на несуществующее изделие, удаление смены. Локально все 6 тестов проходят в Visual Studio (рисунок 8).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680000" cy="2342958"/>
            <wp:effectExtent t="0" r="0" b="0" l="0"/>
            <wp:docPr id="108" name="image8.jpg" descr="Результат запуска тестов в Visual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>
                      <a:picLocks noChangeAspect="1"/>
                    </pic:cNvPicPr>
                  </pic:nvPicPr>
                  <pic:blipFill>
                    <a:blip r:embed="rIdImg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34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8 — Результат запуска тестов в Visual Studio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Успешное выполнение пайплайна в GitHub Actions показано на рисунке 9.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60000" cy="3600000"/>
            <wp:effectExtent t="0" r="0" b="0" l="0"/>
            <wp:docPr id="109" name="image9.png" descr="Успешное выполнение пайплайна в GitHub A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/>
                    </pic:cNvPicPr>
                  </pic:nvPicPr>
                  <pic:blipFill>
                    <a:blip r:embed="rIdImg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9 — Успешное выполнение пайплайна в GitHub Actions</w:t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 Применение делегатов в клиентском приложении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Консольный клиент ProductionClient (.NET 8) работает с API через класс ApiService. Сам класс ничего не пишет в консоль — о результате каждого запроса он сообщает через события. Объявлены два собственных типа делегатов: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// Запрос выполнен: метод, адрес, HTTP-код и время в мс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public delegate void RequestCompletedHandler(string method, string endpoint,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                             int statusCode, long elapsedMs);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// Запрос завершился ошибкой (сервер недоступен, таймаут)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public delegate void RequestFailedHandler(string method, string endpoint,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                          Exception error);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public event RequestCompletedHandler? RequestCompleted;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public event RequestFailedHandler? RequestFailed;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Все HTTP-операции проходят через общий метод SendAsync. Сама операция передаётся параметром типа Func&lt;HttpClient, Task&lt;HttpResponseMessage&gt;&gt;, поэтому методы GetAll, GetById, Create, Update и Delete отличаются только переданной лямбдой: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private async Task&lt;HttpResponseMessage?&gt; SendAsync(string method, string endpoint,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Func&lt;HttpClient, Task&lt;HttpResponseMessage&gt;&gt; operation)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var sw = Stopwatch.StartNew();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try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HttpResponseMessage response = await operation(_http);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RequestCompleted?.Invoke(method, endpoint, (int)response.StatusCode,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                 sw.ElapsedMilliseconds);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return response;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catch (Exception ex) when (ex is HttpRequestException || ex is TaskCanceledException)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RequestFailed?.Invoke(method, endpoint, ex);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return null;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public async Task&lt;bool&gt; DeleteAsync(string endpoint, int id)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string url = $"{endpoint}/{id}";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var response = await SendAsync("DELETE", url, http =&gt; http.DeleteAsync(url));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return response?.IsSuccessStatusCode == true;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}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В Program.cs на событие RequestCompleted подписаны два обработчика — получается многоадресный делегат: первый пишет строку в файл лога, второй выводит цветной результат в консоль. Action&lt;string&gt; печатает заголовок шага, Func&lt;Product?, string&gt; формирует описание изделия.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RequestCompletedHandler logToFile = (method, endpoint, code, ms) =&gt;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File.AppendAllText(logFile, $"{DateTime.Now:HH:mm:ss.fff} {method} {endpoint}" +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                $" -&gt; {code} ({ms} мс){Environment.NewLine}");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RequestCompletedHandler printResult = (method, endpoint, code, ms) =&gt; { /* вывод */ };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api.RequestCompleted += logToFile;     // многоадресный делегат: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api.RequestCompleted += printResult;   // два обработчика на одном событии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api.RequestFailed += printError;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Action&lt;string&gt; step = title =&gt; Console.WriteLine($"&gt;&gt; {title}");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Func&lt;Product?, string&gt; describe = p =&gt; p == null ? "(нет данных)" : p.ToString();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// ... операции 1-3 ...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api.RequestCompleted -= logToFile;     // отписка: дальше в файл не пишем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// ... операции 4-6 ...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api.RequestCompleted += logToFile;     // подписка снова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Результат подписки и отписки виден на рисунке 7: в консоль выведены все семь запросов, а в файл лога попали только четыре (операции 1–3 и 7).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Таблица 7 — Делегаты в клиенте</w:t>
      </w:r>
    </w:p>
    <w:tbl>
      <w:tblPr>
        <w:tblW w:type="dxa" w:w="9355"/>
        <w:jc w:val="center"/>
        <w:tblLayout w:type="fixed"/>
      </w:tblPr>
      <w:tblGrid>
        <w:gridCol w:w="4300"/>
        <w:gridCol w:w="5055"/>
      </w:tblGrid>
      <w:tr>
        <w:trPr>
          <w:tblHeader/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Делегат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Где используется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RequestCompletedHandler (свой)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Событие успешного ответа, два обработчика: файл и консоль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RequestFailedHandler (свой)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Событие ошибки соединения или таймаута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Func&lt;HttpClient, Task&lt;HttpResponseMessage&gt;&gt;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HTTP-операция как параметр метода SendAsync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Action&lt;string&gt;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Печать заголовка шага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Func&lt;Product?, string&gt;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Формирование описания изделия</w:t>
            </w:r>
          </w:p>
        </w:tc>
      </w:tr>
    </w:tbl>
    <w:p>
      <w:pPr>
        <w:spacing w:after="0" w:before="0" w:line="240" w:lineRule="auto"/>
      </w:pP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Заключение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В работе разработана система управления производственным предприятием из шести контейнеров. Все требования задания выполнены: REST API с пятью эндпоинтами на каждую из четырёх сущностей, база PostgreSQL с миграциями и тестовыми данными, кэширование в Redis с инвалидацией, Nginx как единая точка входа, мониторинг в Prometheus и Grafana с шестью панелями, CI-пайплайн со сборкой и тестами, консольный клиент с собственными делегатами, многоадресным делегатом, Action и Func.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Связь с теоретическим материалом курса: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контейнеры — это лёгкая виртуализация на уровне ОС: процессы контейнера изолированы пространствами имён (namespaces) ядра и ограничены контрольными группами (cgroups), но используют общее ядро, поэтому запускаются за секунды, в отличие от виртуальных машин;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имена сервисов (db, redis, api) работают как адреса благодаря изолированному сетевому пространству имён и встроенному DNS Docker;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система построена как набор независимых сервисов, общающихся через чётко заданные интерфейсы (HTTP, протокол PostgreSQL и Redis), — это похоже на микроядерную архитектуру ОС, где службы вынесены из ядра; монолит же соответствовал бы одному процессу со всеми функциями;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кэш Redis — тот же принцип, что кэш процессора и страничный кэш ОС: часто читаемые данные хранятся в быстрой памяти, а при изменении источника кэш нужно сбрасывать;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Prometheus использует pull-модель: сам опрашивает приложения, поэтому приложению не нужно знать адрес сервера мониторинга.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В ходе работы пришлось решить несколько практических проблем: API запускался раньше, чем PostgreSQL была готова принимать подключения, — помогли healthcheck и повтор миграций; файл решения .slnx не открывался в CI на SDK 8 — добавлена установка SDK 9; после перезагрузки компьютера часть контейнеров не поднималась — для всех сервисов задана политика перезапуска.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Репозиторий с исходным кодом, docker-compose.yml, Dockerfile, конфигурациями Nginx и Prometheus, дашбордом Grafana и пайплайном GitHub Actions: https://github.com/Rostick69/ProductionSystem.</w:t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Список использованных источников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1. Моуэт, Э. Использование Docker / Э. Моуэт. – М. : ДМК Пресс, 2017. – 354 с.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2. Прайс, М. C# 10 и .NET 6. Современная кросс-платформенная разработка / М. Прайс. – 6-е изд. – СПб. : Питер, 2023. – 848 с.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3. Таненбаум, Э. Современные операционные системы / Э. Таненбаум, Х. Бос. – 4-е изд. – СПб. : Питер, 2015. – 1120 с.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4. Троелсен, Э. Язык программирования C# 7 и платформы .NET и .NET Core / Э. Троелсен, Ф. Джепикс. – 8-е изд. – М. : Диалектика, 2018. – 1328 с.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5. Docker Compose overview [Электронный ресурс] // Docker Docs. – URL: https://docs.docker.com/compose/ (дата обращения: 26.10.2026).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6. Распределённое кэширование в ASP.NET Core [Электронный ресурс] // Microsoft Learn. – URL: https://learn.microsoft.com/ru-ru/aspnet/core/performance/caching/distributed (дата обращения: 26.10.2026).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7. Prometheus Documentation. Overview [Электронный ресурс] // Prometheus. – URL: https://prometheus.io/docs/introduction/overview/ (дата обращения: 26.10.2026).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8. Workflow syntax for GitHub Actions [Электронный ресурс] // GitHub Docs. – URL: https://docs.github.com/en/actions/using-workflows/workflow-syntax-for-github-actions (дата обращения: 26.10.2026).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jc w:val="center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jpg"/><Relationship Id="rIdImg9" Type="http://schemas.openxmlformats.org/officeDocument/2006/relationships/image" Target="media/image9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Ростовцев Д. А.</dc:creator>
  <cp:lastModifiedBy>Ростовцев Д. А.</cp:lastModifiedBy>
  <cp:revision>1</cp:revision>
  <dcterms:created xsi:type="dcterms:W3CDTF">2026-10-26T21:15:15Z</dcterms:created>
  <dcterms:modified xsi:type="dcterms:W3CDTF">2026-10-26T21:15:15Z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