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Ответы на вопросы-рецензию к докладу</w:t>
      </w:r>
    </w:p>
    <w:p>
      <w:pPr>
        <w:pStyle w:val="Subtitle"/>
      </w:pPr>
      <w:r>
        <w:t xml:space="preserve">Бюро «АРТЕЛЬ» · рынок новостроек Удмуртии · июль 2026</w:t>
      </w:r>
    </w:p>
    <w:bookmarkStart w:id="16" w:name="ответы-на-вопросы-рецензию-к-докладу"/>
    <w:p>
      <w:pPr>
        <w:pStyle w:val="Heading1"/>
      </w:pPr>
      <w:r>
        <w:t xml:space="preserve">Ответы на вопросы-рецензию к докладу</w:t>
      </w:r>
    </w:p>
    <w:p>
      <w:pPr>
        <w:pStyle w:val="FirstParagraph"/>
      </w:pPr>
      <w:r>
        <w:rPr>
          <w:b/>
          <w:bCs/>
        </w:rPr>
        <w:t xml:space="preserve">Бюро «АРТЕЛЬ» · данные ЕИСЖС, срез 11.07.2026</w:t>
      </w:r>
    </w:p>
    <w:p>
      <w:pPr>
        <w:pStyle w:val="BodyText"/>
      </w:pPr>
      <w:r>
        <w:t xml:space="preserve">Ниже — ответы на шесть вопросов, заданных при разборе презентации. Один из них (про слайд 18)</w:t>
      </w:r>
      <w:r>
        <w:t xml:space="preserve"> </w:t>
      </w:r>
      <w:r>
        <w:t xml:space="preserve">привёл к важной находке, которая перестроила доказательную базу всего Акта I, — с неё и начнём.</w:t>
      </w:r>
    </w:p>
    <w:p>
      <w:r>
        <w:pict>
          <v:rect style="width:0;height:1.5pt" o:hralign="center" o:hrstd="t" o:hr="t"/>
        </w:pict>
      </w:r>
    </w:p>
    <w:bookmarkStart w:id="9" w:name="X871d655f043fdf2087202b86900a98bd4b575a2"/>
    <w:p>
      <w:pPr>
        <w:pStyle w:val="Heading2"/>
      </w:pPr>
      <w:r>
        <w:t xml:space="preserve">Главное: контроль по сроку «съедает» продуктовые доводы</w:t>
      </w:r>
    </w:p>
    <w:p>
      <w:pPr>
        <w:pStyle w:val="FirstParagraph"/>
      </w:pPr>
      <w:r>
        <w:t xml:space="preserve">Вопрос про слайд 18 («сравниваем несравнимое») оказался не косметическим. Когда мы сравниваем</w:t>
      </w:r>
      <w:r>
        <w:t xml:space="preserve"> </w:t>
      </w:r>
      <w:r>
        <w:t xml:space="preserve">дома</w:t>
      </w:r>
      <w:r>
        <w:t xml:space="preserve"> </w:t>
      </w:r>
      <w:r>
        <w:rPr>
          <w:b/>
          <w:bCs/>
        </w:rPr>
        <w:t xml:space="preserve">внутри одного года сдачи</w:t>
      </w:r>
      <w:r>
        <w:t xml:space="preserve">, эффекты, на которых строился Акт I, рассыпаются.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Признак</w:t>
            </w:r>
          </w:p>
        </w:tc>
        <w:tc>
          <w:tcPr/>
          <w:p>
            <w:pPr>
              <w:pStyle w:val="Compact"/>
            </w:pPr>
            <w:r>
              <w:t xml:space="preserve">Сырое сравнение</w:t>
            </w:r>
          </w:p>
        </w:tc>
        <w:tc>
          <w:tcPr/>
          <w:p>
            <w:pPr>
              <w:pStyle w:val="Compact"/>
            </w:pPr>
            <w:r>
              <w:t xml:space="preserve">Внутри года сдачи</w:t>
            </w:r>
          </w:p>
        </w:tc>
        <w:tc>
          <w:tcPr/>
          <w:p>
            <w:pPr>
              <w:pStyle w:val="Compact"/>
            </w:pPr>
            <w:r>
              <w:t xml:space="preserve">Вывод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Этажность 18–24</w:t>
            </w:r>
          </w:p>
        </w:tc>
        <w:tc>
          <w:tcPr/>
          <w:p>
            <w:pPr>
              <w:pStyle w:val="Compact"/>
            </w:pPr>
            <w:r>
              <w:t xml:space="preserve">«худшие», 27,9%</w:t>
            </w:r>
          </w:p>
        </w:tc>
        <w:tc>
          <w:tcPr/>
          <w:p>
            <w:pPr>
              <w:pStyle w:val="Compact"/>
            </w:pPr>
            <w:r>
              <w:t xml:space="preserve">2028: 17,8% —</w:t>
            </w:r>
            <w:r>
              <w:t xml:space="preserve"> </w:t>
            </w:r>
            <w:r>
              <w:rPr>
                <w:b/>
                <w:bCs/>
              </w:rPr>
              <w:t xml:space="preserve">не хуже</w:t>
            </w:r>
            <w:r>
              <w:t xml:space="preserve"> </w:t>
            </w:r>
            <w:r>
              <w:t xml:space="preserve">10–17 (16,4%)</w:t>
            </w:r>
          </w:p>
        </w:tc>
        <w:tc>
          <w:tcPr/>
          <w:p>
            <w:pPr>
              <w:pStyle w:val="Compact"/>
            </w:pPr>
            <w:r>
              <w:t xml:space="preserve">артефакт срока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Материал (кирпич)</w:t>
            </w:r>
          </w:p>
        </w:tc>
        <w:tc>
          <w:tcPr/>
          <w:p>
            <w:pPr>
              <w:pStyle w:val="Compact"/>
            </w:pPr>
            <w:r>
              <w:t xml:space="preserve">57% vs 29%</w:t>
            </w:r>
          </w:p>
        </w:tc>
        <w:tc>
          <w:tcPr/>
          <w:p>
            <w:pPr>
              <w:pStyle w:val="Compact"/>
            </w:pPr>
            <w:r>
              <w:t xml:space="preserve">2027: кирпич 38,8% vs монолит</w:t>
            </w:r>
            <w:r>
              <w:t xml:space="preserve"> </w:t>
            </w:r>
            <w:r>
              <w:rPr>
                <w:b/>
                <w:bCs/>
              </w:rPr>
              <w:t xml:space="preserve">41,8%</w:t>
            </w:r>
          </w:p>
        </w:tc>
        <w:tc>
          <w:tcPr/>
          <w:p>
            <w:pPr>
              <w:pStyle w:val="Compact"/>
            </w:pPr>
            <w:r>
              <w:t xml:space="preserve">артефакт срока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Разброс ×20 застройщиков</w:t>
            </w:r>
          </w:p>
        </w:tc>
        <w:tc>
          <w:tcPr/>
          <w:p>
            <w:pPr>
              <w:pStyle w:val="Compact"/>
            </w:pPr>
            <w:r>
              <w:t xml:space="preserve">4%…87%</w:t>
            </w:r>
          </w:p>
        </w:tc>
        <w:tc>
          <w:tcPr/>
          <w:p>
            <w:pPr>
              <w:pStyle w:val="Compact"/>
            </w:pPr>
            <w:r>
              <w:t xml:space="preserve">аутсайдеры все сдаются в</w:t>
            </w:r>
            <w:r>
              <w:t xml:space="preserve"> </w:t>
            </w:r>
            <w:r>
              <w:rPr>
                <w:b/>
                <w:bCs/>
              </w:rPr>
              <w:t xml:space="preserve">2028–2030</w:t>
            </w:r>
          </w:p>
        </w:tc>
        <w:tc>
          <w:tcPr/>
          <w:p>
            <w:pPr>
              <w:pStyle w:val="Compact"/>
            </w:pPr>
            <w:r>
              <w:t xml:space="preserve">во многом срок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Класс: «Стандарт» хуже</w:t>
            </w:r>
          </w:p>
        </w:tc>
        <w:tc>
          <w:tcPr/>
          <w:p>
            <w:pPr>
              <w:pStyle w:val="Compact"/>
            </w:pPr>
            <w:r>
              <w:t xml:space="preserve">18% vs 34%</w:t>
            </w:r>
          </w:p>
        </w:tc>
        <w:tc>
          <w:tcPr/>
          <w:p>
            <w:pPr>
              <w:pStyle w:val="Compact"/>
            </w:pPr>
            <w:r>
              <w:t xml:space="preserve">2028: 5% vs 17% —</w:t>
            </w:r>
            <w:r>
              <w:t xml:space="preserve"> </w:t>
            </w:r>
            <w:r>
              <w:rPr>
                <w:b/>
                <w:bCs/>
              </w:rPr>
              <w:t xml:space="preserve">держится</w:t>
            </w:r>
          </w:p>
        </w:tc>
        <w:tc>
          <w:tcPr/>
          <w:p>
            <w:pPr>
              <w:pStyle w:val="Compact"/>
            </w:pPr>
            <w:r>
              <w:t xml:space="preserve">выживает (выборка тонкая)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Цена: потолок 160 тыс</w:t>
            </w:r>
          </w:p>
        </w:tc>
        <w:tc>
          <w:tcPr/>
          <w:p>
            <w:pPr>
              <w:pStyle w:val="Compact"/>
            </w:pPr>
            <w:r>
              <w:t xml:space="preserve">падает выше 160</w:t>
            </w:r>
          </w:p>
        </w:tc>
        <w:tc>
          <w:tcPr/>
          <w:p>
            <w:pPr>
              <w:pStyle w:val="Compact"/>
            </w:pPr>
            <w:r>
              <w:t xml:space="preserve">2027: &gt;160 тыс — 30% vs 44%</w:t>
            </w:r>
          </w:p>
        </w:tc>
        <w:tc>
          <w:tcPr/>
          <w:p>
            <w:pPr>
              <w:pStyle w:val="Compact"/>
            </w:pPr>
            <w:r>
              <w:t xml:space="preserve">частично выживает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Простыми словами:</w:t>
      </w:r>
      <w:r>
        <w:t xml:space="preserve"> </w:t>
      </w:r>
      <w:r>
        <w:t xml:space="preserve">срок сдачи объясняет почти всё. «18–24 плохо продаётся», «кирпич лучше</w:t>
      </w:r>
      <w:r>
        <w:t xml:space="preserve"> </w:t>
      </w:r>
      <w:r>
        <w:t xml:space="preserve">монолита», «разброс между застройщиками ×20» — это не про продукт, а про то, что слабые цифры</w:t>
      </w:r>
      <w:r>
        <w:t xml:space="preserve"> </w:t>
      </w:r>
      <w:r>
        <w:t xml:space="preserve">скучены в далёкой когорте-2028. Из открытых данных</w:t>
      </w:r>
      <w:r>
        <w:t xml:space="preserve"> </w:t>
      </w:r>
      <w:r>
        <w:rPr>
          <w:b/>
          <w:bCs/>
        </w:rPr>
        <w:t xml:space="preserve">нельзя доказать</w:t>
      </w:r>
      <w:r>
        <w:t xml:space="preserve">, что материал или высота</w:t>
      </w:r>
      <w:r>
        <w:t xml:space="preserve"> </w:t>
      </w:r>
      <w:r>
        <w:t xml:space="preserve">продают. Единственный продуктовый сигнал, что переживает контроль, —</w:t>
      </w:r>
      <w:r>
        <w:t xml:space="preserve"> </w:t>
      </w:r>
      <w:r>
        <w:rPr>
          <w:b/>
          <w:bCs/>
        </w:rPr>
        <w:t xml:space="preserve">класс/качество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Что это даёт докладу.</w:t>
      </w:r>
      <w:r>
        <w:t xml:space="preserve"> </w:t>
      </w:r>
      <w:r>
        <w:t xml:space="preserve">Признать это со сцены — снять половину неудобных вопросов эксперта и</w:t>
      </w:r>
      <w:r>
        <w:t xml:space="preserve"> </w:t>
      </w:r>
      <w:r>
        <w:t xml:space="preserve">заработать доверие. Твёрдая опора остаётся: навес-2028 (реальный рынок), класс как сигнал, логика</w:t>
      </w:r>
      <w:r>
        <w:t xml:space="preserve"> </w:t>
      </w:r>
      <w:r>
        <w:t xml:space="preserve">«цена/ставка/локация исчерпаны → остаётся продукт» и весь Акт II про витрины (он от срока не</w:t>
      </w:r>
      <w:r>
        <w:t xml:space="preserve"> </w:t>
      </w:r>
      <w:r>
        <w:t xml:space="preserve">зависит). Доклад, обе колоды и отчёт уже пересобраны под эту честную рамку.</w:t>
      </w:r>
    </w:p>
    <w:p>
      <w:r>
        <w:pict>
          <v:rect style="width:0;height:1.5pt" o:hralign="center" o:hrstd="t" o:hr="t"/>
        </w:pict>
      </w:r>
    </w:p>
    <w:bookmarkEnd w:id="9"/>
    <w:bookmarkStart w:id="10" w:name="что-за-квартиры-сдаются-в-2030-году"/>
    <w:p>
      <w:pPr>
        <w:pStyle w:val="Heading2"/>
      </w:pPr>
      <w:r>
        <w:t xml:space="preserve">1. Что за квартиры сдаются в 2030 году</w:t>
      </w:r>
    </w:p>
    <w:p>
      <w:pPr>
        <w:pStyle w:val="FirstParagraph"/>
      </w:pPr>
      <w:r>
        <w:t xml:space="preserve">Три дома, 395 квартир: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ЖК</w:t>
            </w:r>
          </w:p>
        </w:tc>
        <w:tc>
          <w:tcPr/>
          <w:p>
            <w:pPr>
              <w:pStyle w:val="Compact"/>
            </w:pPr>
            <w:r>
              <w:t xml:space="preserve">Застройщик</w:t>
            </w:r>
          </w:p>
        </w:tc>
        <w:tc>
          <w:tcPr/>
          <w:p>
            <w:pPr>
              <w:pStyle w:val="Compact"/>
            </w:pPr>
            <w:r>
              <w:t xml:space="preserve">Город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Квартир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Продано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Цена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«А14» (жилой дом №10)</w:t>
            </w:r>
          </w:p>
        </w:tc>
        <w:tc>
          <w:tcPr/>
          <w:p>
            <w:pPr>
              <w:pStyle w:val="Compact"/>
            </w:pPr>
            <w:r>
              <w:t xml:space="preserve">КОМОССТРОЙ</w:t>
            </w:r>
          </w:p>
        </w:tc>
        <w:tc>
          <w:tcPr/>
          <w:p>
            <w:pPr>
              <w:pStyle w:val="Compact"/>
            </w:pPr>
            <w:r>
              <w:t xml:space="preserve">Ижевск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не раскрыта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«Кислород», дом секции 7–8</w:t>
            </w:r>
          </w:p>
        </w:tc>
        <w:tc>
          <w:tcPr/>
          <w:p>
            <w:pPr>
              <w:pStyle w:val="Compact"/>
            </w:pPr>
            <w:r>
              <w:t xml:space="preserve">ГК РЕНТЕК</w:t>
            </w:r>
          </w:p>
        </w:tc>
        <w:tc>
          <w:tcPr/>
          <w:p>
            <w:pPr>
              <w:pStyle w:val="Compact"/>
            </w:pPr>
            <w:r>
              <w:t xml:space="preserve">Ижевск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тыс ₽/м²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Жилой дом №5, секции 9–10</w:t>
            </w:r>
          </w:p>
        </w:tc>
        <w:tc>
          <w:tcPr/>
          <w:p>
            <w:pPr>
              <w:pStyle w:val="Compact"/>
            </w:pPr>
            <w:r>
              <w:t xml:space="preserve">ГК РЕНТЕК</w:t>
            </w:r>
          </w:p>
        </w:tc>
        <w:tc>
          <w:tcPr/>
          <w:p>
            <w:pPr>
              <w:pStyle w:val="Compact"/>
            </w:pPr>
            <w:r>
              <w:t xml:space="preserve">Ижевск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тыс ₽/м²</w:t>
            </w:r>
          </w:p>
        </w:tc>
      </w:tr>
    </w:tbl>
    <w:p>
      <w:pPr>
        <w:pStyle w:val="BodyText"/>
      </w:pPr>
      <w:r>
        <w:t xml:space="preserve">По сути когорта-2030 — это один большой дом КОМОССТРОЙ плюс два небольших корпуса РЕНТЕК.</w:t>
      </w:r>
      <w:r>
        <w:t xml:space="preserve"> </w:t>
      </w:r>
      <w:r>
        <w:t xml:space="preserve">Нюанс: показатель «5,9%» по когорте считается только по домам РЕНТЕК — у дома КОМОССТРОЙ поле</w:t>
      </w:r>
      <w:r>
        <w:t xml:space="preserve"> </w:t>
      </w:r>
      <w:r>
        <w:t xml:space="preserve">распроданности в ЕИСЖС не раскрыто.</w:t>
      </w:r>
    </w:p>
    <w:p>
      <w:r>
        <w:pict>
          <v:rect style="width:0;height:1.5pt" o:hralign="center" o:hrstd="t" o:hr="t"/>
        </w:pict>
      </w:r>
    </w:p>
    <w:bookmarkEnd w:id="10"/>
    <w:bookmarkStart w:id="11" w:name="остатки-квартир-у-застройщиков"/>
    <w:p>
      <w:pPr>
        <w:pStyle w:val="Heading2"/>
      </w:pPr>
      <w:r>
        <w:t xml:space="preserve">2. Остатки квартир у застройщиков</w:t>
      </w:r>
    </w:p>
    <w:p>
      <w:pPr>
        <w:pStyle w:val="FirstParagraph"/>
      </w:pPr>
      <w:r>
        <w:t xml:space="preserve">По</w:t>
      </w:r>
      <w:r>
        <w:t xml:space="preserve"> </w:t>
      </w:r>
      <w:r>
        <w:rPr>
          <w:b/>
          <w:bCs/>
        </w:rPr>
        <w:t xml:space="preserve">строящимся</w:t>
      </w:r>
      <w:r>
        <w:t xml:space="preserve"> </w:t>
      </w:r>
      <w:r>
        <w:t xml:space="preserve">домам (непроданные квартиры = число квартир × доля непроданного):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Застройщик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~Непроданных квартир в стройке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КОМОССТРОЙ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~3 700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~820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Зардон-групп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~730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Железно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~715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ГК Федерация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~650</w:t>
            </w:r>
          </w:p>
        </w:tc>
      </w:tr>
    </w:tbl>
    <w:p>
      <w:pPr>
        <w:pStyle w:val="BodyText"/>
      </w:pPr>
      <w:r>
        <w:t xml:space="preserve">КОМОССТРОЙ держит крупнейший «навес» — это и главный потенциальный клиент бюро.</w:t>
      </w:r>
    </w:p>
    <w:p>
      <w:pPr>
        <w:pStyle w:val="BodyText"/>
      </w:pPr>
      <w:r>
        <w:rPr>
          <w:b/>
          <w:bCs/>
        </w:rPr>
        <w:t xml:space="preserve">Важная оговорка:</w:t>
      </w:r>
      <w:r>
        <w:t xml:space="preserve"> </w:t>
      </w:r>
      <w:r>
        <w:t xml:space="preserve">это остатки по</w:t>
      </w:r>
      <w:r>
        <w:t xml:space="preserve"> </w:t>
      </w:r>
      <w:r>
        <w:rPr>
          <w:b/>
          <w:bCs/>
        </w:rPr>
        <w:t xml:space="preserve">строящимся</w:t>
      </w:r>
      <w:r>
        <w:t xml:space="preserve"> </w:t>
      </w:r>
      <w:r>
        <w:t xml:space="preserve">домам. По уже</w:t>
      </w:r>
      <w:r>
        <w:t xml:space="preserve"> </w:t>
      </w:r>
      <w:r>
        <w:rPr>
          <w:b/>
          <w:bCs/>
        </w:rPr>
        <w:t xml:space="preserve">сданным</w:t>
      </w:r>
      <w:r>
        <w:t xml:space="preserve"> </w:t>
      </w:r>
      <w:r>
        <w:t xml:space="preserve">(введённым в</w:t>
      </w:r>
      <w:r>
        <w:t xml:space="preserve"> </w:t>
      </w:r>
      <w:r>
        <w:t xml:space="preserve">эксплуатацию) домам — это отдельный датасет, которого нет в нашем срезе строящегося жилья. Его</w:t>
      </w:r>
      <w:r>
        <w:t xml:space="preserve"> </w:t>
      </w:r>
      <w:r>
        <w:t xml:space="preserve">можно отдельно собрать из ЕИСЖС (раздел «введённые») или из экспозиции ЦИАН — по запросу.</w:t>
      </w:r>
    </w:p>
    <w:p>
      <w:r>
        <w:pict>
          <v:rect style="width:0;height:1.5pt" o:hralign="center" o:hrstd="t" o:hr="t"/>
        </w:pict>
      </w:r>
    </w:p>
    <w:bookmarkEnd w:id="11"/>
    <w:bookmarkStart w:id="12" w:name="X001a487667ed83b6321199c3bc8107df9c4b389"/>
    <w:p>
      <w:pPr>
        <w:pStyle w:val="Heading2"/>
      </w:pPr>
      <w:r>
        <w:t xml:space="preserve">3. Икигай vs Миры (оба — застройщик Железно), цена за м²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ЖК</w:t>
            </w:r>
          </w:p>
        </w:tc>
        <w:tc>
          <w:tcPr/>
          <w:p>
            <w:pPr>
              <w:pStyle w:val="Compact"/>
            </w:pPr>
            <w:r>
              <w:t xml:space="preserve">Конструктив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Этажность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Цена, ₽/м²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Продано</w:t>
            </w:r>
          </w:p>
        </w:tc>
        <w:tc>
          <w:tcPr/>
          <w:p>
            <w:pPr>
              <w:pStyle w:val="Compact"/>
            </w:pPr>
            <w:r>
              <w:t xml:space="preserve">Сдача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Миры</w:t>
            </w:r>
          </w:p>
        </w:tc>
        <w:tc>
          <w:tcPr/>
          <w:p>
            <w:pPr>
              <w:pStyle w:val="Compact"/>
            </w:pPr>
            <w:r>
              <w:t xml:space="preserve">монолит-кирпич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171 729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28,3%</w:t>
            </w:r>
          </w:p>
        </w:tc>
        <w:tc>
          <w:tcPr/>
          <w:p>
            <w:pPr>
              <w:pStyle w:val="Compact"/>
            </w:pPr>
            <w:r>
              <w:t xml:space="preserve">2028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ИКИГАЙ</w:t>
            </w:r>
          </w:p>
        </w:tc>
        <w:tc>
          <w:tcPr/>
          <w:p>
            <w:pPr>
              <w:pStyle w:val="Compact"/>
            </w:pPr>
            <w:r>
              <w:t xml:space="preserve">кирпич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9–10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158–166 тыс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39–69%</w:t>
            </w:r>
          </w:p>
        </w:tc>
        <w:tc>
          <w:tcPr/>
          <w:p>
            <w:pPr>
              <w:pStyle w:val="Compact"/>
            </w:pPr>
            <w:r>
              <w:t xml:space="preserve">2026–27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Миры дороже</w:t>
      </w:r>
      <w:r>
        <w:t xml:space="preserve"> </w:t>
      </w:r>
      <w:r>
        <w:t xml:space="preserve">за метр (≈172 против 158–166 тыс) и при этом продаётся</w:t>
      </w:r>
      <w:r>
        <w:t xml:space="preserve"> </w:t>
      </w:r>
      <w:r>
        <w:rPr>
          <w:b/>
          <w:bCs/>
        </w:rPr>
        <w:t xml:space="preserve">хуже</w:t>
      </w:r>
      <w:r>
        <w:t xml:space="preserve">. Но честно:</w:t>
      </w:r>
      <w:r>
        <w:t xml:space="preserve"> </w:t>
      </w:r>
      <w:r>
        <w:t xml:space="preserve">разрыв в продажах — это</w:t>
      </w:r>
      <w:r>
        <w:t xml:space="preserve"> </w:t>
      </w:r>
      <w:r>
        <w:rPr>
          <w:b/>
          <w:bCs/>
        </w:rPr>
        <w:t xml:space="preserve">срок сдачи</w:t>
      </w:r>
      <w:r>
        <w:t xml:space="preserve">, а не «формат». Миры сдаётся в 2028 году, а проданные</w:t>
      </w:r>
      <w:r>
        <w:t xml:space="preserve"> </w:t>
      </w:r>
      <w:r>
        <w:t xml:space="preserve">корпуса Икигай — в 2026–27. Сравнивать их продажи «в лоб» и делать вывод «формат решает» нельзя —</w:t>
      </w:r>
      <w:r>
        <w:t xml:space="preserve"> </w:t>
      </w:r>
      <w:r>
        <w:t xml:space="preserve">именно поэтому мы сняли эту пару из доказательной части доклада.</w:t>
      </w:r>
    </w:p>
    <w:p>
      <w:r>
        <w:pict>
          <v:rect style="width:0;height:1.5pt" o:hralign="center" o:hrstd="t" o:hr="t"/>
        </w:pict>
      </w:r>
    </w:p>
    <w:bookmarkEnd w:id="12"/>
    <w:bookmarkStart w:id="13" w:name="X127caa0c1e65c482db579428ca60339d29baf82"/>
    <w:p>
      <w:pPr>
        <w:pStyle w:val="Heading2"/>
      </w:pPr>
      <w:r>
        <w:t xml:space="preserve">4. Слайд 18 (этажность) — «сравниваем несравнимое»</w:t>
      </w:r>
    </w:p>
    <w:p>
      <w:pPr>
        <w:pStyle w:val="FirstParagraph"/>
      </w:pPr>
      <w:r>
        <w:t xml:space="preserve">Замечание верное, и глубже, чем казалось: чистый контроль не просто убирает 25+, он</w:t>
      </w:r>
      <w:r>
        <w:t xml:space="preserve"> </w:t>
      </w:r>
      <w:r>
        <w:rPr>
          <w:b/>
          <w:bCs/>
        </w:rPr>
        <w:t xml:space="preserve">опровергает</w:t>
      </w:r>
      <w:r>
        <w:rPr>
          <w:b/>
          <w:bCs/>
        </w:rPr>
        <w:t xml:space="preserve"> </w:t>
      </w:r>
      <w:r>
        <w:rPr>
          <w:b/>
          <w:bCs/>
        </w:rPr>
        <w:t xml:space="preserve">сам тезис</w:t>
      </w:r>
      <w:r>
        <w:t xml:space="preserve"> </w:t>
      </w:r>
      <w:r>
        <w:t xml:space="preserve">«18–24 слабее».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Этажность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Сырьё · все годы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Внутри года · 2028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 9 этажей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10–17 этажей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18–24 этажа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27,9% — «худшие»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17,8% — не хуже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25+ этажей (видовые)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9,1%</w:t>
            </w:r>
          </w:p>
        </w:tc>
      </w:tr>
    </w:tbl>
    <w:p>
      <w:pPr>
        <w:pStyle w:val="BodyText"/>
      </w:pPr>
      <w:r>
        <w:t xml:space="preserve">В сыром виде 18–24 внизу — но лишь потому, что скучены в далёкой когорте-2028. Внутри одного года</w:t>
      </w:r>
      <w:r>
        <w:t xml:space="preserve"> </w:t>
      </w:r>
      <w:r>
        <w:t xml:space="preserve">этажность продажи не предсказывает. Слайд переделан: вместо «самый массовый формат — самый слабый»</w:t>
      </w:r>
      <w:r>
        <w:t xml:space="preserve"> </w:t>
      </w:r>
      <w:r>
        <w:t xml:space="preserve">теперь честный «мы проверили себя: решает срок». Что про 18–24 остаётся верным — это половина</w:t>
      </w:r>
      <w:r>
        <w:t xml:space="preserve"> </w:t>
      </w:r>
      <w:r>
        <w:t xml:space="preserve">рынка и ядро навеса-2028, то есть главный рынок бюро, но не «плохой формат».</w:t>
      </w:r>
    </w:p>
    <w:p>
      <w:r>
        <w:pict>
          <v:rect style="width:0;height:1.5pt" o:hralign="center" o:hrstd="t" o:hr="t"/>
        </w:pict>
      </w:r>
    </w:p>
    <w:bookmarkEnd w:id="13"/>
    <w:bookmarkStart w:id="14" w:name="класс-типовой-стандарт"/>
    <w:p>
      <w:pPr>
        <w:pStyle w:val="Heading2"/>
      </w:pPr>
      <w:r>
        <w:t xml:space="preserve">5. Класс «Типовой» → «Стандарт»</w:t>
      </w:r>
    </w:p>
    <w:p>
      <w:pPr>
        <w:pStyle w:val="FirstParagraph"/>
      </w:pPr>
      <w:r>
        <w:t xml:space="preserve">Сделано во всех материалах (доклад, обе колоды, отчёт, ликбез). «Стандарт» — официальный термин</w:t>
      </w:r>
      <w:r>
        <w:t xml:space="preserve"> </w:t>
      </w:r>
      <w:r>
        <w:t xml:space="preserve">ДОМ.РФ/Минстроя (класс, ранее называвшийся «эконом»); в ЕИСЖС он числится как «Типовой».</w:t>
      </w:r>
    </w:p>
    <w:p>
      <w:pPr>
        <w:pStyle w:val="BodyText"/>
      </w:pPr>
      <w:r>
        <w:t xml:space="preserve">Кстати, класс —</w:t>
      </w:r>
      <w:r>
        <w:t xml:space="preserve"> </w:t>
      </w:r>
      <w:r>
        <w:rPr>
          <w:b/>
          <w:bCs/>
        </w:rPr>
        <w:t xml:space="preserve">единственный продуктовый признак, что пережил контроль по сроку</w:t>
      </w:r>
      <w:r>
        <w:t xml:space="preserve">: «Стандарт»</w:t>
      </w:r>
      <w:r>
        <w:t xml:space="preserve"> </w:t>
      </w:r>
      <w:r>
        <w:t xml:space="preserve">продан на 18% против 34% у «Комфорта», и это держится внутри одного года сдачи. Это и стало</w:t>
      </w:r>
      <w:r>
        <w:t xml:space="preserve"> </w:t>
      </w:r>
      <w:r>
        <w:t xml:space="preserve">нашим главным честным доводом «качество продукта влияет на продажи».</w:t>
      </w:r>
    </w:p>
    <w:p>
      <w:r>
        <w:pict>
          <v:rect style="width:0;height:1.5pt" o:hralign="center" o:hrstd="t" o:hr="t"/>
        </w:pict>
      </w:r>
    </w:p>
    <w:bookmarkEnd w:id="14"/>
    <w:bookmarkStart w:id="15" w:name="как-намус-продаёт-новые-истории"/>
    <w:p>
      <w:pPr>
        <w:pStyle w:val="Heading2"/>
      </w:pPr>
      <w:r>
        <w:t xml:space="preserve">6. Как Намус продаёт «Новые истории»</w:t>
      </w:r>
    </w:p>
    <w:p>
      <w:pPr>
        <w:pStyle w:val="FirstParagraph"/>
      </w:pPr>
      <w:r>
        <w:t xml:space="preserve">ЖК «Новые истории» — СЗ Намус, Глазов: 296 квартир, продано</w:t>
      </w:r>
      <w:r>
        <w:t xml:space="preserve"> </w:t>
      </w:r>
      <w:r>
        <w:rPr>
          <w:b/>
          <w:bCs/>
        </w:rPr>
        <w:t xml:space="preserve">24,3%</w:t>
      </w:r>
      <w:r>
        <w:t xml:space="preserve">, ≈108 тыс ₽/м², сдача 2028,</w:t>
      </w:r>
      <w:r>
        <w:t xml:space="preserve"> </w:t>
      </w:r>
      <w:r>
        <w:t xml:space="preserve">класс «комфорт», от 3,4 млн ₽. Продажи — «средне-базовые»:</w:t>
      </w:r>
    </w:p>
    <w:p>
      <w:pPr>
        <w:pStyle w:val="BodyText"/>
      </w:pPr>
      <w:r>
        <w:rPr>
          <w:b/>
          <w:bCs/>
        </w:rPr>
        <w:t xml:space="preserve">Что есть на сайте (namus.dev):</w:t>
      </w:r>
    </w:p>
    <w:p>
      <w:pPr>
        <w:pStyle w:val="Compact"/>
        <w:numPr>
          <w:ilvl w:val="0"/>
          <w:numId w:val="1001"/>
        </w:numPr>
      </w:pPr>
      <w:r>
        <w:t xml:space="preserve">Каталог квартир с фильтром по типам (студии, 1–3 комнаты)</w:t>
      </w:r>
    </w:p>
    <w:p>
      <w:pPr>
        <w:pStyle w:val="Compact"/>
        <w:numPr>
          <w:ilvl w:val="0"/>
          <w:numId w:val="1001"/>
        </w:numPr>
      </w:pPr>
      <w:r>
        <w:t xml:space="preserve">Ипотечный калькулятор с платежом (пример «от 12 031 ₽/мес»)</w:t>
      </w:r>
    </w:p>
    <w:p>
      <w:pPr>
        <w:pStyle w:val="Compact"/>
        <w:numPr>
          <w:ilvl w:val="0"/>
          <w:numId w:val="1001"/>
        </w:numPr>
      </w:pPr>
      <w:r>
        <w:t xml:space="preserve">Раздел «Ход строительства»</w:t>
      </w:r>
    </w:p>
    <w:p>
      <w:pPr>
        <w:pStyle w:val="Compact"/>
        <w:numPr>
          <w:ilvl w:val="0"/>
          <w:numId w:val="1001"/>
        </w:numPr>
      </w:pPr>
      <w:r>
        <w:t xml:space="preserve">Финансы: беспроцентная рассрочка от застройщика, семейная и IT-ипотека 6%, базовая от 13,9%</w:t>
      </w:r>
    </w:p>
    <w:p>
      <w:pPr>
        <w:pStyle w:val="Compact"/>
        <w:numPr>
          <w:ilvl w:val="0"/>
          <w:numId w:val="1001"/>
        </w:numPr>
      </w:pPr>
      <w:r>
        <w:t xml:space="preserve">Фишки продукта: закрытый двор без машин, своя газовая котельная, архитектурная подсветка</w:t>
      </w:r>
    </w:p>
    <w:p>
      <w:pPr>
        <w:pStyle w:val="FirstParagraph"/>
      </w:pPr>
      <w:r>
        <w:rPr>
          <w:b/>
          <w:bCs/>
        </w:rPr>
        <w:t xml:space="preserve">Чего нет:</w:t>
      </w:r>
    </w:p>
    <w:p>
      <w:pPr>
        <w:pStyle w:val="Compact"/>
        <w:numPr>
          <w:ilvl w:val="0"/>
          <w:numId w:val="1002"/>
        </w:numPr>
      </w:pPr>
      <w:r>
        <w:t xml:space="preserve">Выбора квартиры на генплане/шахматке</w:t>
      </w:r>
    </w:p>
    <w:p>
      <w:pPr>
        <w:pStyle w:val="Compact"/>
        <w:numPr>
          <w:ilvl w:val="0"/>
          <w:numId w:val="1002"/>
        </w:numPr>
      </w:pPr>
      <w:r>
        <w:t xml:space="preserve">Онлайн-бронирования</w:t>
      </w:r>
    </w:p>
    <w:p>
      <w:pPr>
        <w:pStyle w:val="Compact"/>
        <w:numPr>
          <w:ilvl w:val="0"/>
          <w:numId w:val="1002"/>
        </w:numPr>
      </w:pPr>
      <w:r>
        <w:t xml:space="preserve">Личного кабинета покупателя</w:t>
      </w:r>
    </w:p>
    <w:p>
      <w:pPr>
        <w:pStyle w:val="Compact"/>
        <w:numPr>
          <w:ilvl w:val="0"/>
          <w:numId w:val="1002"/>
        </w:numPr>
      </w:pPr>
      <w:r>
        <w:t xml:space="preserve">3D-туров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Имени архитектора/архбюро</w:t>
      </w:r>
    </w:p>
    <w:p>
      <w:pPr>
        <w:pStyle w:val="FirstParagraph"/>
      </w:pPr>
      <w:r>
        <w:rPr>
          <w:b/>
          <w:bCs/>
        </w:rPr>
        <w:t xml:space="preserve">Вывод:</w:t>
      </w:r>
      <w:r>
        <w:t xml:space="preserve"> </w:t>
      </w:r>
      <w:r>
        <w:t xml:space="preserve">типичный небольшой региональный застройщик — базовая витрина без «продвинутых»</w:t>
      </w:r>
      <w:r>
        <w:t xml:space="preserve"> </w:t>
      </w:r>
      <w:r>
        <w:t xml:space="preserve">инструментов и без авторства архитектуры. Распроданность 24,3% — это опять же когорта-2028</w:t>
      </w:r>
      <w:r>
        <w:t xml:space="preserve"> </w:t>
      </w:r>
      <w:r>
        <w:t xml:space="preserve">(ранний срок), а не провал продукта. Для Глазова, где новостройка конкурирует со вторичкой по</w:t>
      </w:r>
      <w:r>
        <w:t xml:space="preserve"> </w:t>
      </w:r>
      <w:r>
        <w:t xml:space="preserve">той же ставке 6%, «закрытый двор + котельная» — разумные, но неяркие аргументы.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Данные: ЕИСЖС (наш.дом.рф), срез 11.07.2026; сайт Намус — namus.dev, проверено 07.2026.</w:t>
      </w:r>
      <w:r>
        <w:rPr>
          <w:i/>
          <w:iCs/>
        </w:rPr>
        <w:t xml:space="preserve"> </w:t>
      </w:r>
      <w:r>
        <w:rPr>
          <w:i/>
          <w:iCs/>
        </w:rPr>
        <w:t xml:space="preserve">Все расчёты воспроизводимы из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data/eisgs/houses-2026-07-11.csv</w:t>
      </w:r>
      <w:r>
        <w:rPr>
          <w:i/>
          <w:iCs/>
        </w:rP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Ответы на вопросы-рецензию к докладу</dc:title>
  <dc:creator/>
  <dc:language>ru</dc:language>
  <cp:keywords/>
  <dcterms:created xsi:type="dcterms:W3CDTF">2026-07-22T17:06:07Z</dcterms:created>
  <dcterms:modified xsi:type="dcterms:W3CDTF">2026-07-22T17:06:07Z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Бюро «АРТЕЛЬ» · рынок новостроек Удмуртии · июль 2026</vt:lpwstr>
  </property>
</Properties>
</file>